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17787" w14:textId="77777777" w:rsidR="00002990" w:rsidRPr="00C34AB7" w:rsidRDefault="00FA6383" w:rsidP="00FE51D3">
      <w:pPr>
        <w:pStyle w:val="DPCbodynospace"/>
      </w:pPr>
      <w:bookmarkStart w:id="0" w:name="_GoBack"/>
      <w:bookmarkEnd w:id="0"/>
      <w:r>
        <w:rPr>
          <w:noProof/>
        </w:rPr>
        <w:drawing>
          <wp:anchor distT="0" distB="0" distL="114300" distR="114300" simplePos="0" relativeHeight="251658240" behindDoc="1" locked="1" layoutInCell="0" allowOverlap="1" wp14:anchorId="093A36BA" wp14:editId="1952432E">
            <wp:simplePos x="0" y="0"/>
            <wp:positionH relativeFrom="page">
              <wp:posOffset>0</wp:posOffset>
            </wp:positionH>
            <wp:positionV relativeFrom="page">
              <wp:posOffset>0</wp:posOffset>
            </wp:positionV>
            <wp:extent cx="7563600" cy="10700280"/>
            <wp:effectExtent l="0" t="0" r="0" b="6350"/>
            <wp:wrapNone/>
            <wp:docPr id="2" name="Picture 2" descr="Victoria State Governmen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7563600" cy="10700280"/>
                    </a:xfrm>
                    <a:prstGeom prst="rect">
                      <a:avLst/>
                    </a:prstGeom>
                  </pic:spPr>
                </pic:pic>
              </a:graphicData>
            </a:graphic>
            <wp14:sizeRelH relativeFrom="margin">
              <wp14:pctWidth>0</wp14:pctWidth>
            </wp14:sizeRelH>
            <wp14:sizeRelV relativeFrom="margin">
              <wp14:pctHeight>0</wp14:pctHeight>
            </wp14:sizeRelV>
          </wp:anchor>
        </w:drawing>
      </w:r>
    </w:p>
    <w:tbl>
      <w:tblPr>
        <w:tblW w:w="9086" w:type="dxa"/>
        <w:tblCellMar>
          <w:left w:w="0" w:type="dxa"/>
          <w:right w:w="0" w:type="dxa"/>
        </w:tblCellMar>
        <w:tblLook w:val="04A0" w:firstRow="1" w:lastRow="0" w:firstColumn="1" w:lastColumn="0" w:noHBand="0" w:noVBand="1"/>
      </w:tblPr>
      <w:tblGrid>
        <w:gridCol w:w="9086"/>
      </w:tblGrid>
      <w:tr w:rsidR="001817CD" w:rsidRPr="00C34AB7" w14:paraId="21E578E0" w14:textId="77777777" w:rsidTr="006452A6">
        <w:trPr>
          <w:trHeight w:val="6131"/>
        </w:trPr>
        <w:tc>
          <w:tcPr>
            <w:tcW w:w="9086" w:type="dxa"/>
            <w:shd w:val="clear" w:color="auto" w:fill="auto"/>
            <w:vAlign w:val="center"/>
          </w:tcPr>
          <w:p w14:paraId="0AF35DE6" w14:textId="11B3AEE7" w:rsidR="00C416E1" w:rsidRPr="004527B1" w:rsidRDefault="00843D1F" w:rsidP="004C4D4A">
            <w:pPr>
              <w:pStyle w:val="DPCreporttitle"/>
              <w:rPr>
                <w:sz w:val="56"/>
                <w:szCs w:val="56"/>
              </w:rPr>
            </w:pPr>
            <w:r w:rsidRPr="004527B1">
              <w:rPr>
                <w:sz w:val="56"/>
                <w:szCs w:val="56"/>
              </w:rPr>
              <w:t xml:space="preserve">Guide for </w:t>
            </w:r>
            <w:r w:rsidR="0004285E" w:rsidRPr="004527B1">
              <w:rPr>
                <w:sz w:val="56"/>
                <w:szCs w:val="56"/>
              </w:rPr>
              <w:t>Drafting Enforceable Conditions and Contingency Plans</w:t>
            </w:r>
          </w:p>
          <w:p w14:paraId="7965E2CF" w14:textId="77777777" w:rsidR="00B35B91" w:rsidRDefault="00843D1F" w:rsidP="00B35B91">
            <w:pPr>
              <w:pStyle w:val="DPCreportsubtitle"/>
              <w:spacing w:after="0" w:line="260" w:lineRule="atLeast"/>
              <w:rPr>
                <w:sz w:val="36"/>
                <w:szCs w:val="36"/>
              </w:rPr>
            </w:pPr>
            <w:r w:rsidRPr="004527B1">
              <w:rPr>
                <w:sz w:val="36"/>
                <w:szCs w:val="36"/>
              </w:rPr>
              <w:t>For</w:t>
            </w:r>
            <w:r w:rsidR="0054104A" w:rsidRPr="004527B1">
              <w:rPr>
                <w:sz w:val="36"/>
                <w:szCs w:val="36"/>
              </w:rPr>
              <w:t xml:space="preserve"> Cultural Heritage Management Plans, </w:t>
            </w:r>
          </w:p>
          <w:p w14:paraId="28043783" w14:textId="77777777" w:rsidR="00B35B91" w:rsidRDefault="0054104A" w:rsidP="00B35B91">
            <w:pPr>
              <w:pStyle w:val="DPCreportsubtitle"/>
              <w:spacing w:after="0" w:line="260" w:lineRule="atLeast"/>
              <w:rPr>
                <w:sz w:val="36"/>
                <w:szCs w:val="36"/>
              </w:rPr>
            </w:pPr>
            <w:r w:rsidRPr="004527B1">
              <w:rPr>
                <w:sz w:val="36"/>
                <w:szCs w:val="36"/>
              </w:rPr>
              <w:t xml:space="preserve">Cultural Heritage Permits and </w:t>
            </w:r>
          </w:p>
          <w:p w14:paraId="3BD94F22" w14:textId="54BB143C" w:rsidR="004527B1" w:rsidRDefault="0054104A" w:rsidP="00B35B91">
            <w:pPr>
              <w:pStyle w:val="DPCreportsubtitle"/>
              <w:spacing w:after="0" w:line="260" w:lineRule="atLeast"/>
              <w:rPr>
                <w:sz w:val="36"/>
                <w:szCs w:val="36"/>
              </w:rPr>
            </w:pPr>
            <w:r w:rsidRPr="004527B1">
              <w:rPr>
                <w:sz w:val="36"/>
                <w:szCs w:val="36"/>
              </w:rPr>
              <w:t xml:space="preserve">Aboriginal Cultural Heritage Land Management Agreements under the </w:t>
            </w:r>
          </w:p>
          <w:p w14:paraId="3565EA97" w14:textId="14592B28" w:rsidR="00444D82" w:rsidRPr="004527B1" w:rsidRDefault="0054104A" w:rsidP="00B35B91">
            <w:pPr>
              <w:pStyle w:val="DPCreportsubtitle"/>
              <w:spacing w:after="0" w:line="260" w:lineRule="atLeast"/>
              <w:rPr>
                <w:sz w:val="36"/>
                <w:szCs w:val="36"/>
              </w:rPr>
            </w:pPr>
            <w:r w:rsidRPr="004527B1">
              <w:rPr>
                <w:i/>
                <w:sz w:val="36"/>
                <w:szCs w:val="36"/>
              </w:rPr>
              <w:t>Aboriginal Heritage Act 2006</w:t>
            </w:r>
          </w:p>
        </w:tc>
      </w:tr>
    </w:tbl>
    <w:p w14:paraId="7B5AF0EE" w14:textId="77777777" w:rsidR="0069374A" w:rsidRPr="00C34AB7" w:rsidRDefault="0069374A" w:rsidP="00FE51D3">
      <w:pPr>
        <w:pStyle w:val="DPCbodynospace"/>
      </w:pPr>
    </w:p>
    <w:p w14:paraId="6AD9C635" w14:textId="77777777" w:rsidR="00320FDE" w:rsidRPr="0088510E" w:rsidRDefault="00320FDE" w:rsidP="0088510E">
      <w:pPr>
        <w:pStyle w:val="TOC3"/>
        <w:sectPr w:rsidR="00320FDE" w:rsidRPr="0088510E" w:rsidSect="00BB2E18">
          <w:headerReference w:type="even" r:id="rId9"/>
          <w:headerReference w:type="default" r:id="rId10"/>
          <w:footerReference w:type="even" r:id="rId11"/>
          <w:footerReference w:type="default" r:id="rId12"/>
          <w:headerReference w:type="first" r:id="rId13"/>
          <w:footerReference w:type="first" r:id="rId14"/>
          <w:type w:val="oddPage"/>
          <w:pgSz w:w="11906" w:h="16838"/>
          <w:pgMar w:top="1134" w:right="1418" w:bottom="1134" w:left="1418" w:header="454" w:footer="567" w:gutter="0"/>
          <w:pgNumType w:fmt="lowerRoman" w:start="1"/>
          <w:cols w:space="720"/>
          <w:docGrid w:linePitch="360"/>
        </w:sectPr>
      </w:pPr>
    </w:p>
    <w:p w14:paraId="3F95C0E3" w14:textId="77777777" w:rsidR="00AC0C3B" w:rsidRPr="002C4D47" w:rsidRDefault="00AC0C3B" w:rsidP="002C4D47">
      <w:pPr>
        <w:pStyle w:val="DPCTOCheadingreport"/>
      </w:pPr>
      <w:r w:rsidRPr="002C4D47">
        <w:lastRenderedPageBreak/>
        <w:t>Contents</w:t>
      </w:r>
    </w:p>
    <w:p w14:paraId="2BF93AA2" w14:textId="038E1167" w:rsidR="00B35B91" w:rsidRDefault="00E15DA9">
      <w:pPr>
        <w:pStyle w:val="TOC1"/>
        <w:tabs>
          <w:tab w:val="left" w:pos="567"/>
        </w:tabs>
        <w:rPr>
          <w:rFonts w:eastAsiaTheme="minorEastAsia" w:cstheme="minorBidi"/>
          <w:b w:val="0"/>
          <w:lang w:eastAsia="en-AU"/>
        </w:rPr>
      </w:pPr>
      <w:r w:rsidRPr="00C34AB7">
        <w:fldChar w:fldCharType="begin"/>
      </w:r>
      <w:r w:rsidRPr="00C34AB7">
        <w:instrText xml:space="preserve"> TOC \h \z \t "Heading 1,1,Heading 2,2" </w:instrText>
      </w:r>
      <w:r w:rsidRPr="00C34AB7">
        <w:fldChar w:fldCharType="separate"/>
      </w:r>
      <w:hyperlink w:anchor="_Toc17445300" w:history="1">
        <w:r w:rsidR="00B35B91" w:rsidRPr="00DE4D12">
          <w:rPr>
            <w:rStyle w:val="Hyperlink"/>
          </w:rPr>
          <w:t>1</w:t>
        </w:r>
        <w:r w:rsidR="00B35B91">
          <w:rPr>
            <w:rFonts w:eastAsiaTheme="minorEastAsia" w:cstheme="minorBidi"/>
            <w:b w:val="0"/>
            <w:lang w:eastAsia="en-AU"/>
          </w:rPr>
          <w:tab/>
        </w:r>
        <w:r w:rsidR="00B35B91" w:rsidRPr="00DE4D12">
          <w:rPr>
            <w:rStyle w:val="Hyperlink"/>
          </w:rPr>
          <w:t>Introduction</w:t>
        </w:r>
        <w:r w:rsidR="00B35B91">
          <w:rPr>
            <w:webHidden/>
          </w:rPr>
          <w:tab/>
        </w:r>
        <w:r w:rsidR="00B35B91">
          <w:rPr>
            <w:webHidden/>
          </w:rPr>
          <w:fldChar w:fldCharType="begin"/>
        </w:r>
        <w:r w:rsidR="00B35B91">
          <w:rPr>
            <w:webHidden/>
          </w:rPr>
          <w:instrText xml:space="preserve"> PAGEREF _Toc17445300 \h </w:instrText>
        </w:r>
        <w:r w:rsidR="00B35B91">
          <w:rPr>
            <w:webHidden/>
          </w:rPr>
        </w:r>
        <w:r w:rsidR="00B35B91">
          <w:rPr>
            <w:webHidden/>
          </w:rPr>
          <w:fldChar w:fldCharType="separate"/>
        </w:r>
        <w:r w:rsidR="00B35B91">
          <w:rPr>
            <w:webHidden/>
          </w:rPr>
          <w:t>3</w:t>
        </w:r>
        <w:r w:rsidR="00B35B91">
          <w:rPr>
            <w:webHidden/>
          </w:rPr>
          <w:fldChar w:fldCharType="end"/>
        </w:r>
      </w:hyperlink>
    </w:p>
    <w:p w14:paraId="134B305F" w14:textId="510CED31" w:rsidR="00B35B91" w:rsidRDefault="00020B84">
      <w:pPr>
        <w:pStyle w:val="TOC2"/>
        <w:tabs>
          <w:tab w:val="left" w:pos="567"/>
        </w:tabs>
        <w:rPr>
          <w:rFonts w:eastAsiaTheme="minorEastAsia" w:cstheme="minorBidi"/>
          <w:lang w:eastAsia="en-AU"/>
        </w:rPr>
      </w:pPr>
      <w:hyperlink w:anchor="_Toc17445301" w:history="1">
        <w:r w:rsidR="00B35B91" w:rsidRPr="00DE4D12">
          <w:rPr>
            <w:rStyle w:val="Hyperlink"/>
            <w:rFonts w:eastAsia="Calibri"/>
          </w:rPr>
          <w:t>1.1.</w:t>
        </w:r>
        <w:r w:rsidR="00B35B91">
          <w:rPr>
            <w:rFonts w:eastAsiaTheme="minorEastAsia" w:cstheme="minorBidi"/>
            <w:lang w:eastAsia="en-AU"/>
          </w:rPr>
          <w:tab/>
        </w:r>
        <w:r w:rsidR="00B35B91" w:rsidRPr="00DE4D12">
          <w:rPr>
            <w:rStyle w:val="Hyperlink"/>
            <w:rFonts w:eastAsia="Calibri"/>
          </w:rPr>
          <w:t>Purpose and Scope</w:t>
        </w:r>
        <w:r w:rsidR="00B35B91">
          <w:rPr>
            <w:webHidden/>
          </w:rPr>
          <w:tab/>
        </w:r>
        <w:r w:rsidR="00B35B91">
          <w:rPr>
            <w:webHidden/>
          </w:rPr>
          <w:fldChar w:fldCharType="begin"/>
        </w:r>
        <w:r w:rsidR="00B35B91">
          <w:rPr>
            <w:webHidden/>
          </w:rPr>
          <w:instrText xml:space="preserve"> PAGEREF _Toc17445301 \h </w:instrText>
        </w:r>
        <w:r w:rsidR="00B35B91">
          <w:rPr>
            <w:webHidden/>
          </w:rPr>
        </w:r>
        <w:r w:rsidR="00B35B91">
          <w:rPr>
            <w:webHidden/>
          </w:rPr>
          <w:fldChar w:fldCharType="separate"/>
        </w:r>
        <w:r w:rsidR="00B35B91">
          <w:rPr>
            <w:webHidden/>
          </w:rPr>
          <w:t>3</w:t>
        </w:r>
        <w:r w:rsidR="00B35B91">
          <w:rPr>
            <w:webHidden/>
          </w:rPr>
          <w:fldChar w:fldCharType="end"/>
        </w:r>
      </w:hyperlink>
    </w:p>
    <w:p w14:paraId="468B65FB" w14:textId="51CF7856" w:rsidR="00B35B91" w:rsidRDefault="00020B84">
      <w:pPr>
        <w:pStyle w:val="TOC2"/>
        <w:tabs>
          <w:tab w:val="left" w:pos="567"/>
        </w:tabs>
        <w:rPr>
          <w:rFonts w:eastAsiaTheme="minorEastAsia" w:cstheme="minorBidi"/>
          <w:lang w:eastAsia="en-AU"/>
        </w:rPr>
      </w:pPr>
      <w:hyperlink w:anchor="_Toc17445302" w:history="1">
        <w:r w:rsidR="00B35B91" w:rsidRPr="00DE4D12">
          <w:rPr>
            <w:rStyle w:val="Hyperlink"/>
            <w:rFonts w:eastAsia="Calibri"/>
          </w:rPr>
          <w:t>1.2.</w:t>
        </w:r>
        <w:r w:rsidR="00B35B91">
          <w:rPr>
            <w:rFonts w:eastAsiaTheme="minorEastAsia" w:cstheme="minorBidi"/>
            <w:lang w:eastAsia="en-AU"/>
          </w:rPr>
          <w:tab/>
        </w:r>
        <w:r w:rsidR="00B35B91" w:rsidRPr="00DE4D12">
          <w:rPr>
            <w:rStyle w:val="Hyperlink"/>
            <w:rFonts w:eastAsia="Calibri"/>
          </w:rPr>
          <w:t>Conditions or Contingency Plan?</w:t>
        </w:r>
        <w:r w:rsidR="00B35B91">
          <w:rPr>
            <w:webHidden/>
          </w:rPr>
          <w:tab/>
        </w:r>
        <w:r w:rsidR="00B35B91">
          <w:rPr>
            <w:webHidden/>
          </w:rPr>
          <w:fldChar w:fldCharType="begin"/>
        </w:r>
        <w:r w:rsidR="00B35B91">
          <w:rPr>
            <w:webHidden/>
          </w:rPr>
          <w:instrText xml:space="preserve"> PAGEREF _Toc17445302 \h </w:instrText>
        </w:r>
        <w:r w:rsidR="00B35B91">
          <w:rPr>
            <w:webHidden/>
          </w:rPr>
        </w:r>
        <w:r w:rsidR="00B35B91">
          <w:rPr>
            <w:webHidden/>
          </w:rPr>
          <w:fldChar w:fldCharType="separate"/>
        </w:r>
        <w:r w:rsidR="00B35B91">
          <w:rPr>
            <w:webHidden/>
          </w:rPr>
          <w:t>3</w:t>
        </w:r>
        <w:r w:rsidR="00B35B91">
          <w:rPr>
            <w:webHidden/>
          </w:rPr>
          <w:fldChar w:fldCharType="end"/>
        </w:r>
      </w:hyperlink>
    </w:p>
    <w:p w14:paraId="6CD4343C" w14:textId="543B7926" w:rsidR="00B35B91" w:rsidRDefault="00020B84">
      <w:pPr>
        <w:pStyle w:val="TOC2"/>
        <w:tabs>
          <w:tab w:val="left" w:pos="567"/>
        </w:tabs>
        <w:rPr>
          <w:rFonts w:eastAsiaTheme="minorEastAsia" w:cstheme="minorBidi"/>
          <w:lang w:eastAsia="en-AU"/>
        </w:rPr>
      </w:pPr>
      <w:hyperlink w:anchor="_Toc17445303" w:history="1">
        <w:r w:rsidR="00B35B91" w:rsidRPr="00DE4D12">
          <w:rPr>
            <w:rStyle w:val="Hyperlink"/>
            <w:rFonts w:eastAsia="Calibri"/>
          </w:rPr>
          <w:t>1.3.</w:t>
        </w:r>
        <w:r w:rsidR="00B35B91">
          <w:rPr>
            <w:rFonts w:eastAsiaTheme="minorEastAsia" w:cstheme="minorBidi"/>
            <w:lang w:eastAsia="en-AU"/>
          </w:rPr>
          <w:tab/>
        </w:r>
        <w:r w:rsidR="00B35B91" w:rsidRPr="00DE4D12">
          <w:rPr>
            <w:rStyle w:val="Hyperlink"/>
            <w:rFonts w:eastAsia="Calibri"/>
          </w:rPr>
          <w:t>SMART Conditions and Contingency Plans</w:t>
        </w:r>
        <w:r w:rsidR="00B35B91">
          <w:rPr>
            <w:webHidden/>
          </w:rPr>
          <w:tab/>
        </w:r>
        <w:r w:rsidR="00B35B91">
          <w:rPr>
            <w:webHidden/>
          </w:rPr>
          <w:fldChar w:fldCharType="begin"/>
        </w:r>
        <w:r w:rsidR="00B35B91">
          <w:rPr>
            <w:webHidden/>
          </w:rPr>
          <w:instrText xml:space="preserve"> PAGEREF _Toc17445303 \h </w:instrText>
        </w:r>
        <w:r w:rsidR="00B35B91">
          <w:rPr>
            <w:webHidden/>
          </w:rPr>
        </w:r>
        <w:r w:rsidR="00B35B91">
          <w:rPr>
            <w:webHidden/>
          </w:rPr>
          <w:fldChar w:fldCharType="separate"/>
        </w:r>
        <w:r w:rsidR="00B35B91">
          <w:rPr>
            <w:webHidden/>
          </w:rPr>
          <w:t>4</w:t>
        </w:r>
        <w:r w:rsidR="00B35B91">
          <w:rPr>
            <w:webHidden/>
          </w:rPr>
          <w:fldChar w:fldCharType="end"/>
        </w:r>
      </w:hyperlink>
    </w:p>
    <w:p w14:paraId="23E4CAC6" w14:textId="69248A1C" w:rsidR="00B35B91" w:rsidRDefault="00020B84">
      <w:pPr>
        <w:pStyle w:val="TOC1"/>
        <w:tabs>
          <w:tab w:val="left" w:pos="567"/>
        </w:tabs>
        <w:rPr>
          <w:rFonts w:eastAsiaTheme="minorEastAsia" w:cstheme="minorBidi"/>
          <w:b w:val="0"/>
          <w:lang w:eastAsia="en-AU"/>
        </w:rPr>
      </w:pPr>
      <w:hyperlink w:anchor="_Toc17445304" w:history="1">
        <w:r w:rsidR="00B35B91" w:rsidRPr="00DE4D12">
          <w:rPr>
            <w:rStyle w:val="Hyperlink"/>
          </w:rPr>
          <w:t>2</w:t>
        </w:r>
        <w:r w:rsidR="00B35B91">
          <w:rPr>
            <w:rFonts w:eastAsiaTheme="minorEastAsia" w:cstheme="minorBidi"/>
            <w:b w:val="0"/>
            <w:lang w:eastAsia="en-AU"/>
          </w:rPr>
          <w:tab/>
        </w:r>
        <w:r w:rsidR="00B35B91" w:rsidRPr="00DE4D12">
          <w:rPr>
            <w:rStyle w:val="Hyperlink"/>
          </w:rPr>
          <w:t>Conditions and Contingency Plans</w:t>
        </w:r>
        <w:r w:rsidR="00B35B91">
          <w:rPr>
            <w:webHidden/>
          </w:rPr>
          <w:tab/>
        </w:r>
        <w:r w:rsidR="00B35B91">
          <w:rPr>
            <w:webHidden/>
          </w:rPr>
          <w:fldChar w:fldCharType="begin"/>
        </w:r>
        <w:r w:rsidR="00B35B91">
          <w:rPr>
            <w:webHidden/>
          </w:rPr>
          <w:instrText xml:space="preserve"> PAGEREF _Toc17445304 \h </w:instrText>
        </w:r>
        <w:r w:rsidR="00B35B91">
          <w:rPr>
            <w:webHidden/>
          </w:rPr>
        </w:r>
        <w:r w:rsidR="00B35B91">
          <w:rPr>
            <w:webHidden/>
          </w:rPr>
          <w:fldChar w:fldCharType="separate"/>
        </w:r>
        <w:r w:rsidR="00B35B91">
          <w:rPr>
            <w:webHidden/>
          </w:rPr>
          <w:t>7</w:t>
        </w:r>
        <w:r w:rsidR="00B35B91">
          <w:rPr>
            <w:webHidden/>
          </w:rPr>
          <w:fldChar w:fldCharType="end"/>
        </w:r>
      </w:hyperlink>
    </w:p>
    <w:p w14:paraId="1B43D3D7" w14:textId="58966B5F" w:rsidR="00B35B91" w:rsidRDefault="00020B84">
      <w:pPr>
        <w:pStyle w:val="TOC2"/>
        <w:tabs>
          <w:tab w:val="left" w:pos="567"/>
        </w:tabs>
        <w:rPr>
          <w:rFonts w:eastAsiaTheme="minorEastAsia" w:cstheme="minorBidi"/>
          <w:lang w:eastAsia="en-AU"/>
        </w:rPr>
      </w:pPr>
      <w:hyperlink w:anchor="_Toc17445305" w:history="1">
        <w:r w:rsidR="00B35B91" w:rsidRPr="00DE4D12">
          <w:rPr>
            <w:rStyle w:val="Hyperlink"/>
            <w:rFonts w:eastAsia="Calibri"/>
          </w:rPr>
          <w:t>2.1.</w:t>
        </w:r>
        <w:r w:rsidR="00B35B91">
          <w:rPr>
            <w:rFonts w:eastAsiaTheme="minorEastAsia" w:cstheme="minorBidi"/>
            <w:lang w:eastAsia="en-AU"/>
          </w:rPr>
          <w:tab/>
        </w:r>
        <w:r w:rsidR="00B35B91" w:rsidRPr="00DE4D12">
          <w:rPr>
            <w:rStyle w:val="Hyperlink"/>
            <w:rFonts w:eastAsia="Calibri"/>
          </w:rPr>
          <w:t>Preparing and Organising Conditions and Contingency Plans</w:t>
        </w:r>
        <w:r w:rsidR="00B35B91">
          <w:rPr>
            <w:webHidden/>
          </w:rPr>
          <w:tab/>
        </w:r>
        <w:r w:rsidR="00B35B91">
          <w:rPr>
            <w:webHidden/>
          </w:rPr>
          <w:fldChar w:fldCharType="begin"/>
        </w:r>
        <w:r w:rsidR="00B35B91">
          <w:rPr>
            <w:webHidden/>
          </w:rPr>
          <w:instrText xml:space="preserve"> PAGEREF _Toc17445305 \h </w:instrText>
        </w:r>
        <w:r w:rsidR="00B35B91">
          <w:rPr>
            <w:webHidden/>
          </w:rPr>
        </w:r>
        <w:r w:rsidR="00B35B91">
          <w:rPr>
            <w:webHidden/>
          </w:rPr>
          <w:fldChar w:fldCharType="separate"/>
        </w:r>
        <w:r w:rsidR="00B35B91">
          <w:rPr>
            <w:webHidden/>
          </w:rPr>
          <w:t>7</w:t>
        </w:r>
        <w:r w:rsidR="00B35B91">
          <w:rPr>
            <w:webHidden/>
          </w:rPr>
          <w:fldChar w:fldCharType="end"/>
        </w:r>
      </w:hyperlink>
    </w:p>
    <w:p w14:paraId="1422A4A4" w14:textId="1CA15DC4" w:rsidR="00B35B91" w:rsidRDefault="00020B84">
      <w:pPr>
        <w:pStyle w:val="TOC1"/>
        <w:rPr>
          <w:rFonts w:eastAsiaTheme="minorEastAsia" w:cstheme="minorBidi"/>
          <w:b w:val="0"/>
          <w:lang w:eastAsia="en-AU"/>
        </w:rPr>
      </w:pPr>
      <w:hyperlink w:anchor="_Toc17445306" w:history="1">
        <w:r w:rsidR="00B35B91" w:rsidRPr="00DE4D12">
          <w:rPr>
            <w:rStyle w:val="Hyperlink"/>
          </w:rPr>
          <w:t>Appendix 1: Avoiding Ambiguity</w:t>
        </w:r>
        <w:r w:rsidR="00B35B91">
          <w:rPr>
            <w:webHidden/>
          </w:rPr>
          <w:tab/>
        </w:r>
        <w:r w:rsidR="00B35B91">
          <w:rPr>
            <w:webHidden/>
          </w:rPr>
          <w:fldChar w:fldCharType="begin"/>
        </w:r>
        <w:r w:rsidR="00B35B91">
          <w:rPr>
            <w:webHidden/>
          </w:rPr>
          <w:instrText xml:space="preserve"> PAGEREF _Toc17445306 \h </w:instrText>
        </w:r>
        <w:r w:rsidR="00B35B91">
          <w:rPr>
            <w:webHidden/>
          </w:rPr>
        </w:r>
        <w:r w:rsidR="00B35B91">
          <w:rPr>
            <w:webHidden/>
          </w:rPr>
          <w:fldChar w:fldCharType="separate"/>
        </w:r>
        <w:r w:rsidR="00B35B91">
          <w:rPr>
            <w:webHidden/>
          </w:rPr>
          <w:t>12</w:t>
        </w:r>
        <w:r w:rsidR="00B35B91">
          <w:rPr>
            <w:webHidden/>
          </w:rPr>
          <w:fldChar w:fldCharType="end"/>
        </w:r>
      </w:hyperlink>
    </w:p>
    <w:p w14:paraId="2A674380" w14:textId="5BFA4A17" w:rsidR="003E2E12" w:rsidRDefault="00E15DA9" w:rsidP="00352B6B">
      <w:pPr>
        <w:pStyle w:val="TOC2"/>
      </w:pPr>
      <w:r w:rsidRPr="00C34AB7">
        <w:fldChar w:fldCharType="end"/>
      </w:r>
    </w:p>
    <w:p w14:paraId="56955BF7" w14:textId="3AA9AF07" w:rsidR="000445FF" w:rsidRDefault="000445FF" w:rsidP="00C40A46">
      <w:pPr>
        <w:pStyle w:val="TableofFigures"/>
        <w:tabs>
          <w:tab w:val="right" w:pos="9288"/>
        </w:tabs>
        <w:spacing w:line="276" w:lineRule="auto"/>
        <w:rPr>
          <w:rFonts w:eastAsiaTheme="minorEastAsia" w:cstheme="minorBidi"/>
          <w:noProof/>
          <w:szCs w:val="22"/>
          <w:lang w:eastAsia="en-AU"/>
        </w:rPr>
      </w:pPr>
      <w:r>
        <w:rPr>
          <w:sz w:val="20"/>
        </w:rPr>
        <w:fldChar w:fldCharType="begin"/>
      </w:r>
      <w:r>
        <w:rPr>
          <w:sz w:val="20"/>
        </w:rPr>
        <w:instrText xml:space="preserve"> TOC \t "DPC table caption,1" \c "Figure" </w:instrText>
      </w:r>
      <w:r>
        <w:rPr>
          <w:sz w:val="20"/>
        </w:rPr>
        <w:fldChar w:fldCharType="separate"/>
      </w:r>
      <w:r>
        <w:rPr>
          <w:noProof/>
        </w:rPr>
        <w:t>Table 1: The S.M.A.R.T. principle</w:t>
      </w:r>
      <w:r>
        <w:rPr>
          <w:noProof/>
        </w:rPr>
        <w:tab/>
      </w:r>
      <w:r>
        <w:rPr>
          <w:noProof/>
        </w:rPr>
        <w:fldChar w:fldCharType="begin"/>
      </w:r>
      <w:r>
        <w:rPr>
          <w:noProof/>
        </w:rPr>
        <w:instrText xml:space="preserve"> PAGEREF _Toc15644184 \h </w:instrText>
      </w:r>
      <w:r>
        <w:rPr>
          <w:noProof/>
        </w:rPr>
      </w:r>
      <w:r>
        <w:rPr>
          <w:noProof/>
        </w:rPr>
        <w:fldChar w:fldCharType="separate"/>
      </w:r>
      <w:r w:rsidR="00B35B91">
        <w:rPr>
          <w:noProof/>
        </w:rPr>
        <w:t>5</w:t>
      </w:r>
      <w:r>
        <w:rPr>
          <w:noProof/>
        </w:rPr>
        <w:fldChar w:fldCharType="end"/>
      </w:r>
    </w:p>
    <w:p w14:paraId="3AF60419" w14:textId="62219FA8" w:rsidR="000445FF" w:rsidRDefault="000445FF" w:rsidP="00C40A46">
      <w:pPr>
        <w:pStyle w:val="TableofFigures"/>
        <w:tabs>
          <w:tab w:val="right" w:pos="9288"/>
        </w:tabs>
        <w:spacing w:line="276" w:lineRule="auto"/>
        <w:rPr>
          <w:rFonts w:eastAsiaTheme="minorEastAsia" w:cstheme="minorBidi"/>
          <w:noProof/>
          <w:szCs w:val="22"/>
          <w:lang w:eastAsia="en-AU"/>
        </w:rPr>
      </w:pPr>
      <w:r>
        <w:rPr>
          <w:noProof/>
        </w:rPr>
        <w:t>Table 2: Common types of Conditions</w:t>
      </w:r>
      <w:r>
        <w:rPr>
          <w:noProof/>
        </w:rPr>
        <w:tab/>
      </w:r>
      <w:r>
        <w:rPr>
          <w:noProof/>
        </w:rPr>
        <w:fldChar w:fldCharType="begin"/>
      </w:r>
      <w:r>
        <w:rPr>
          <w:noProof/>
        </w:rPr>
        <w:instrText xml:space="preserve"> PAGEREF _Toc15644185 \h </w:instrText>
      </w:r>
      <w:r>
        <w:rPr>
          <w:noProof/>
        </w:rPr>
      </w:r>
      <w:r>
        <w:rPr>
          <w:noProof/>
        </w:rPr>
        <w:fldChar w:fldCharType="separate"/>
      </w:r>
      <w:r w:rsidR="00B35B91">
        <w:rPr>
          <w:noProof/>
        </w:rPr>
        <w:t>8</w:t>
      </w:r>
      <w:r>
        <w:rPr>
          <w:noProof/>
        </w:rPr>
        <w:fldChar w:fldCharType="end"/>
      </w:r>
    </w:p>
    <w:p w14:paraId="0B08061B" w14:textId="1EC1E9A2" w:rsidR="000445FF" w:rsidRDefault="000445FF" w:rsidP="00C40A46">
      <w:pPr>
        <w:pStyle w:val="TableofFigures"/>
        <w:tabs>
          <w:tab w:val="right" w:pos="9288"/>
        </w:tabs>
        <w:spacing w:line="276" w:lineRule="auto"/>
        <w:rPr>
          <w:rFonts w:eastAsiaTheme="minorEastAsia" w:cstheme="minorBidi"/>
          <w:noProof/>
          <w:szCs w:val="22"/>
          <w:lang w:eastAsia="en-AU"/>
        </w:rPr>
      </w:pPr>
      <w:r>
        <w:rPr>
          <w:noProof/>
        </w:rPr>
        <w:t>Table 3: Common causes of ambiguity</w:t>
      </w:r>
      <w:r>
        <w:rPr>
          <w:noProof/>
        </w:rPr>
        <w:tab/>
      </w:r>
      <w:r>
        <w:rPr>
          <w:noProof/>
        </w:rPr>
        <w:fldChar w:fldCharType="begin"/>
      </w:r>
      <w:r>
        <w:rPr>
          <w:noProof/>
        </w:rPr>
        <w:instrText xml:space="preserve"> PAGEREF _Toc15644186 \h </w:instrText>
      </w:r>
      <w:r>
        <w:rPr>
          <w:noProof/>
        </w:rPr>
      </w:r>
      <w:r>
        <w:rPr>
          <w:noProof/>
        </w:rPr>
        <w:fldChar w:fldCharType="separate"/>
      </w:r>
      <w:r w:rsidR="00B35B91">
        <w:rPr>
          <w:noProof/>
        </w:rPr>
        <w:t>12</w:t>
      </w:r>
      <w:r>
        <w:rPr>
          <w:noProof/>
        </w:rPr>
        <w:fldChar w:fldCharType="end"/>
      </w:r>
    </w:p>
    <w:p w14:paraId="4DDEF72D" w14:textId="77777777" w:rsidR="000445FF" w:rsidRPr="00C34AB7" w:rsidRDefault="000445FF" w:rsidP="00C40A46">
      <w:pPr>
        <w:pStyle w:val="TOC2"/>
        <w:spacing w:line="276" w:lineRule="auto"/>
      </w:pPr>
      <w:r>
        <w:rPr>
          <w:noProof w:val="0"/>
          <w:sz w:val="20"/>
          <w:szCs w:val="20"/>
        </w:rPr>
        <w:fldChar w:fldCharType="end"/>
      </w:r>
    </w:p>
    <w:p w14:paraId="7DBD4A1E" w14:textId="2D273779" w:rsidR="006805B4" w:rsidRDefault="006805B4" w:rsidP="002C472F"/>
    <w:p w14:paraId="5487DDB2" w14:textId="7B50CD1A" w:rsidR="004527B1" w:rsidRDefault="004527B1" w:rsidP="002C472F"/>
    <w:p w14:paraId="65D95DAC" w14:textId="5EEB79CE" w:rsidR="004527B1" w:rsidRDefault="004527B1" w:rsidP="002C472F"/>
    <w:p w14:paraId="0AACCA60" w14:textId="21DC85FD" w:rsidR="004527B1" w:rsidRDefault="004527B1" w:rsidP="002C472F"/>
    <w:p w14:paraId="240D0ED5" w14:textId="23FEC5A4" w:rsidR="004527B1" w:rsidRDefault="004527B1" w:rsidP="002C472F"/>
    <w:p w14:paraId="7FF0EA42" w14:textId="5857E355" w:rsidR="004527B1" w:rsidRDefault="004527B1" w:rsidP="002C472F"/>
    <w:p w14:paraId="3EB9095F" w14:textId="5BA96504" w:rsidR="004527B1" w:rsidRDefault="004527B1" w:rsidP="002C472F"/>
    <w:p w14:paraId="0C952CB0" w14:textId="51E0146F" w:rsidR="004527B1" w:rsidRDefault="004527B1" w:rsidP="002C472F"/>
    <w:p w14:paraId="1C7CBE84" w14:textId="78A59FC6" w:rsidR="004527B1" w:rsidRDefault="004527B1" w:rsidP="002C472F"/>
    <w:p w14:paraId="04EF5642" w14:textId="6CCCE808" w:rsidR="004527B1" w:rsidRDefault="004527B1" w:rsidP="002C472F"/>
    <w:p w14:paraId="0BEE74BE" w14:textId="56015DFC" w:rsidR="004527B1" w:rsidRDefault="004527B1" w:rsidP="002C472F"/>
    <w:p w14:paraId="0D7F78E6" w14:textId="6E4DB5B1" w:rsidR="004527B1" w:rsidRDefault="004527B1" w:rsidP="002C472F"/>
    <w:p w14:paraId="36403299" w14:textId="57E1F59E" w:rsidR="004527B1" w:rsidRDefault="004527B1" w:rsidP="002C472F"/>
    <w:p w14:paraId="129886AB" w14:textId="0073008D" w:rsidR="004527B1" w:rsidRDefault="004527B1" w:rsidP="002C472F"/>
    <w:p w14:paraId="56E8DE10" w14:textId="3E9BF889" w:rsidR="004527B1" w:rsidRDefault="004527B1" w:rsidP="002C472F"/>
    <w:p w14:paraId="009A7438" w14:textId="77777777" w:rsidR="004527B1" w:rsidRDefault="004527B1" w:rsidP="002C472F"/>
    <w:p w14:paraId="61D159C2" w14:textId="77777777" w:rsidR="006805B4" w:rsidRDefault="006805B4" w:rsidP="006805B4">
      <w:pPr>
        <w:pStyle w:val="DPCbody"/>
      </w:pPr>
      <w:r>
        <w:t>Frequently used abbreviations and acronyms in this document</w:t>
      </w:r>
    </w:p>
    <w:tbl>
      <w:tblPr>
        <w:tblStyle w:val="TableGrid"/>
        <w:tblW w:w="0" w:type="auto"/>
        <w:tblLook w:val="04A0" w:firstRow="1" w:lastRow="0" w:firstColumn="1" w:lastColumn="0" w:noHBand="0" w:noVBand="1"/>
      </w:tblPr>
      <w:tblGrid>
        <w:gridCol w:w="1833"/>
        <w:gridCol w:w="7573"/>
      </w:tblGrid>
      <w:tr w:rsidR="006805B4" w:rsidRPr="006805B4" w14:paraId="3E9E2721" w14:textId="77777777" w:rsidTr="006805B4">
        <w:tc>
          <w:tcPr>
            <w:tcW w:w="1833" w:type="dxa"/>
          </w:tcPr>
          <w:p w14:paraId="376D40DE" w14:textId="77777777" w:rsidR="006805B4" w:rsidRPr="006805B4" w:rsidRDefault="006805B4" w:rsidP="006805B4">
            <w:pPr>
              <w:pStyle w:val="DPCtabletext"/>
              <w:rPr>
                <w:rFonts w:eastAsia="Arial"/>
                <w:lang w:eastAsia="en-AU"/>
              </w:rPr>
            </w:pPr>
            <w:r w:rsidRPr="006805B4">
              <w:rPr>
                <w:rFonts w:eastAsia="Arial"/>
                <w:lang w:eastAsia="en-AU"/>
              </w:rPr>
              <w:t>AV</w:t>
            </w:r>
          </w:p>
        </w:tc>
        <w:tc>
          <w:tcPr>
            <w:tcW w:w="7573" w:type="dxa"/>
          </w:tcPr>
          <w:p w14:paraId="755E52DF" w14:textId="77777777" w:rsidR="006805B4" w:rsidRPr="006805B4" w:rsidRDefault="006805B4" w:rsidP="006805B4">
            <w:pPr>
              <w:pStyle w:val="DPCtabletext"/>
              <w:rPr>
                <w:rFonts w:eastAsia="Arial"/>
                <w:lang w:eastAsia="en-AU"/>
              </w:rPr>
            </w:pPr>
            <w:r w:rsidRPr="006805B4">
              <w:rPr>
                <w:rFonts w:eastAsia="Arial"/>
                <w:lang w:eastAsia="en-AU"/>
              </w:rPr>
              <w:t>Aboriginal Victoria</w:t>
            </w:r>
          </w:p>
        </w:tc>
      </w:tr>
      <w:tr w:rsidR="006805B4" w:rsidRPr="006805B4" w14:paraId="1B67C173" w14:textId="77777777" w:rsidTr="006805B4">
        <w:tc>
          <w:tcPr>
            <w:tcW w:w="1833" w:type="dxa"/>
          </w:tcPr>
          <w:p w14:paraId="544FE90A" w14:textId="77777777" w:rsidR="006805B4" w:rsidRPr="006805B4" w:rsidRDefault="006805B4" w:rsidP="006805B4">
            <w:pPr>
              <w:pStyle w:val="DPCtabletext"/>
              <w:rPr>
                <w:rFonts w:eastAsia="Arial"/>
                <w:lang w:eastAsia="en-AU"/>
              </w:rPr>
            </w:pPr>
            <w:r w:rsidRPr="006805B4">
              <w:rPr>
                <w:rFonts w:eastAsia="Arial"/>
                <w:lang w:eastAsia="en-AU"/>
              </w:rPr>
              <w:t>“The Act”</w:t>
            </w:r>
          </w:p>
        </w:tc>
        <w:tc>
          <w:tcPr>
            <w:tcW w:w="7573" w:type="dxa"/>
          </w:tcPr>
          <w:p w14:paraId="18AC0C7C" w14:textId="319B3EC1" w:rsidR="006805B4" w:rsidRPr="006805B4" w:rsidRDefault="006805B4" w:rsidP="006805B4">
            <w:pPr>
              <w:pStyle w:val="DPCtabletext"/>
              <w:rPr>
                <w:rFonts w:eastAsia="Arial"/>
                <w:lang w:eastAsia="en-AU"/>
              </w:rPr>
            </w:pPr>
            <w:r w:rsidRPr="006805B4">
              <w:rPr>
                <w:rFonts w:eastAsia="Arial"/>
                <w:lang w:eastAsia="en-AU"/>
              </w:rPr>
              <w:t xml:space="preserve">The </w:t>
            </w:r>
            <w:r w:rsidRPr="006805B4">
              <w:rPr>
                <w:rFonts w:eastAsia="Arial"/>
                <w:i/>
                <w:lang w:eastAsia="en-AU"/>
              </w:rPr>
              <w:t>Aboriginal Heritage Act 2006</w:t>
            </w:r>
            <w:r w:rsidR="00034BD2" w:rsidRPr="00034BD2">
              <w:rPr>
                <w:rFonts w:eastAsia="Arial"/>
                <w:lang w:eastAsia="en-AU"/>
              </w:rPr>
              <w:t xml:space="preserve"> (Vic)</w:t>
            </w:r>
          </w:p>
        </w:tc>
      </w:tr>
      <w:tr w:rsidR="006805B4" w:rsidRPr="006805B4" w14:paraId="333F1090" w14:textId="77777777" w:rsidTr="006805B4">
        <w:tc>
          <w:tcPr>
            <w:tcW w:w="1833" w:type="dxa"/>
          </w:tcPr>
          <w:p w14:paraId="7675086E" w14:textId="77777777" w:rsidR="006805B4" w:rsidRPr="006805B4" w:rsidRDefault="006805B4" w:rsidP="006805B4">
            <w:pPr>
              <w:pStyle w:val="DPCtabletext"/>
              <w:rPr>
                <w:rFonts w:eastAsia="Arial"/>
                <w:lang w:eastAsia="en-AU"/>
              </w:rPr>
            </w:pPr>
            <w:r w:rsidRPr="006805B4">
              <w:rPr>
                <w:rFonts w:eastAsia="Arial"/>
                <w:lang w:eastAsia="en-AU"/>
              </w:rPr>
              <w:t>ACHLMA</w:t>
            </w:r>
          </w:p>
        </w:tc>
        <w:tc>
          <w:tcPr>
            <w:tcW w:w="7573" w:type="dxa"/>
          </w:tcPr>
          <w:p w14:paraId="02D151E3" w14:textId="77777777" w:rsidR="006805B4" w:rsidRPr="006805B4" w:rsidRDefault="006805B4" w:rsidP="006805B4">
            <w:pPr>
              <w:pStyle w:val="DPCtabletext"/>
              <w:rPr>
                <w:rFonts w:eastAsia="Arial"/>
                <w:lang w:eastAsia="en-AU"/>
              </w:rPr>
            </w:pPr>
            <w:r>
              <w:rPr>
                <w:rFonts w:eastAsia="Arial"/>
                <w:lang w:eastAsia="en-AU"/>
              </w:rPr>
              <w:t>Aboriginal Cultural Heritage Land Management Agreement</w:t>
            </w:r>
          </w:p>
        </w:tc>
      </w:tr>
      <w:tr w:rsidR="006805B4" w:rsidRPr="006805B4" w14:paraId="6C457D73" w14:textId="77777777" w:rsidTr="006805B4">
        <w:tc>
          <w:tcPr>
            <w:tcW w:w="1833" w:type="dxa"/>
          </w:tcPr>
          <w:p w14:paraId="156B2668" w14:textId="77777777" w:rsidR="006805B4" w:rsidRPr="006805B4" w:rsidRDefault="006805B4" w:rsidP="006805B4">
            <w:pPr>
              <w:pStyle w:val="DPCtabletext"/>
              <w:rPr>
                <w:rFonts w:eastAsia="Arial"/>
                <w:lang w:eastAsia="en-AU"/>
              </w:rPr>
            </w:pPr>
            <w:r w:rsidRPr="006805B4">
              <w:rPr>
                <w:rFonts w:eastAsia="Arial"/>
                <w:lang w:eastAsia="en-AU"/>
              </w:rPr>
              <w:t>CHP</w:t>
            </w:r>
          </w:p>
        </w:tc>
        <w:tc>
          <w:tcPr>
            <w:tcW w:w="7573" w:type="dxa"/>
          </w:tcPr>
          <w:p w14:paraId="4AAD0FD7" w14:textId="77777777" w:rsidR="006805B4" w:rsidRPr="006805B4" w:rsidRDefault="006805B4" w:rsidP="006805B4">
            <w:pPr>
              <w:pStyle w:val="DPCtabletext"/>
              <w:rPr>
                <w:rFonts w:eastAsia="Arial"/>
                <w:lang w:eastAsia="en-AU"/>
              </w:rPr>
            </w:pPr>
            <w:r>
              <w:rPr>
                <w:rFonts w:eastAsia="Arial"/>
                <w:lang w:eastAsia="en-AU"/>
              </w:rPr>
              <w:t>Cultural Heritage Permit</w:t>
            </w:r>
          </w:p>
        </w:tc>
      </w:tr>
      <w:tr w:rsidR="006805B4" w:rsidRPr="006805B4" w14:paraId="65124FCA" w14:textId="77777777" w:rsidTr="006805B4">
        <w:tc>
          <w:tcPr>
            <w:tcW w:w="1833" w:type="dxa"/>
          </w:tcPr>
          <w:p w14:paraId="40EA9685" w14:textId="77777777" w:rsidR="006805B4" w:rsidRPr="006805B4" w:rsidRDefault="006805B4" w:rsidP="006805B4">
            <w:pPr>
              <w:pStyle w:val="DPCtabletext"/>
              <w:rPr>
                <w:rFonts w:eastAsia="Arial"/>
                <w:lang w:eastAsia="en-AU"/>
              </w:rPr>
            </w:pPr>
            <w:r w:rsidRPr="006805B4">
              <w:rPr>
                <w:rFonts w:eastAsia="Arial"/>
                <w:lang w:eastAsia="en-AU"/>
              </w:rPr>
              <w:t>CHMP</w:t>
            </w:r>
          </w:p>
        </w:tc>
        <w:tc>
          <w:tcPr>
            <w:tcW w:w="7573" w:type="dxa"/>
          </w:tcPr>
          <w:p w14:paraId="029D3BF8" w14:textId="77777777" w:rsidR="006805B4" w:rsidRPr="006805B4" w:rsidRDefault="006805B4" w:rsidP="006805B4">
            <w:pPr>
              <w:pStyle w:val="DPCtabletext"/>
              <w:rPr>
                <w:rFonts w:eastAsia="Arial"/>
                <w:lang w:eastAsia="en-AU"/>
              </w:rPr>
            </w:pPr>
            <w:r>
              <w:rPr>
                <w:rFonts w:eastAsia="Arial"/>
                <w:lang w:eastAsia="en-AU"/>
              </w:rPr>
              <w:t>Cultural Heritage Management Plan</w:t>
            </w:r>
          </w:p>
        </w:tc>
      </w:tr>
      <w:tr w:rsidR="00995981" w:rsidRPr="006805B4" w14:paraId="20F4BB78" w14:textId="77777777" w:rsidTr="006805B4">
        <w:tc>
          <w:tcPr>
            <w:tcW w:w="1833" w:type="dxa"/>
          </w:tcPr>
          <w:p w14:paraId="0A8BE928" w14:textId="77777777" w:rsidR="00995981" w:rsidRPr="006805B4" w:rsidRDefault="00995981" w:rsidP="006805B4">
            <w:pPr>
              <w:pStyle w:val="DPCtabletext"/>
              <w:rPr>
                <w:rFonts w:eastAsia="Arial"/>
                <w:lang w:eastAsia="en-AU"/>
              </w:rPr>
            </w:pPr>
            <w:r>
              <w:rPr>
                <w:rFonts w:eastAsia="Arial"/>
                <w:lang w:eastAsia="en-AU"/>
              </w:rPr>
              <w:t>LDAD</w:t>
            </w:r>
          </w:p>
        </w:tc>
        <w:tc>
          <w:tcPr>
            <w:tcW w:w="7573" w:type="dxa"/>
          </w:tcPr>
          <w:p w14:paraId="347C55CF" w14:textId="77777777" w:rsidR="00995981" w:rsidRDefault="00995981" w:rsidP="006805B4">
            <w:pPr>
              <w:pStyle w:val="DPCtabletext"/>
              <w:rPr>
                <w:rFonts w:eastAsia="Arial"/>
                <w:lang w:eastAsia="en-AU"/>
              </w:rPr>
            </w:pPr>
            <w:r>
              <w:rPr>
                <w:rFonts w:eastAsia="Arial"/>
                <w:lang w:eastAsia="en-AU"/>
              </w:rPr>
              <w:t>Low Density Artefact Distribution</w:t>
            </w:r>
          </w:p>
        </w:tc>
      </w:tr>
      <w:tr w:rsidR="006805B4" w:rsidRPr="006805B4" w14:paraId="280BAF6E" w14:textId="77777777" w:rsidTr="006805B4">
        <w:tc>
          <w:tcPr>
            <w:tcW w:w="1833" w:type="dxa"/>
          </w:tcPr>
          <w:p w14:paraId="67C8B931" w14:textId="77777777" w:rsidR="006805B4" w:rsidRPr="006805B4" w:rsidRDefault="006805B4" w:rsidP="006805B4">
            <w:pPr>
              <w:pStyle w:val="DPCtabletext"/>
              <w:rPr>
                <w:rFonts w:eastAsia="Arial"/>
                <w:lang w:eastAsia="en-AU"/>
              </w:rPr>
            </w:pPr>
            <w:r w:rsidRPr="006805B4">
              <w:rPr>
                <w:rFonts w:eastAsia="Arial"/>
                <w:lang w:eastAsia="en-AU"/>
              </w:rPr>
              <w:t>RAP</w:t>
            </w:r>
          </w:p>
        </w:tc>
        <w:tc>
          <w:tcPr>
            <w:tcW w:w="7573" w:type="dxa"/>
          </w:tcPr>
          <w:p w14:paraId="1A757B66" w14:textId="77777777" w:rsidR="006805B4" w:rsidRPr="006805B4" w:rsidRDefault="006805B4" w:rsidP="006805B4">
            <w:pPr>
              <w:pStyle w:val="DPCtabletext"/>
              <w:rPr>
                <w:rFonts w:eastAsia="Arial"/>
                <w:lang w:eastAsia="en-AU"/>
              </w:rPr>
            </w:pPr>
            <w:r w:rsidRPr="006805B4">
              <w:rPr>
                <w:rFonts w:eastAsia="Arial"/>
                <w:lang w:eastAsia="en-AU"/>
              </w:rPr>
              <w:t>Registered Aboriginal Party</w:t>
            </w:r>
          </w:p>
        </w:tc>
      </w:tr>
      <w:tr w:rsidR="004C409B" w:rsidRPr="006805B4" w14:paraId="36E15EF3" w14:textId="77777777" w:rsidTr="006805B4">
        <w:tc>
          <w:tcPr>
            <w:tcW w:w="1833" w:type="dxa"/>
          </w:tcPr>
          <w:p w14:paraId="7A0A38E8" w14:textId="51C0137F" w:rsidR="004C409B" w:rsidRPr="006805B4" w:rsidRDefault="004C409B" w:rsidP="006805B4">
            <w:pPr>
              <w:pStyle w:val="DPCtabletext"/>
              <w:rPr>
                <w:rFonts w:eastAsia="Arial"/>
                <w:lang w:eastAsia="en-AU"/>
              </w:rPr>
            </w:pPr>
            <w:r>
              <w:rPr>
                <w:rFonts w:eastAsia="Arial"/>
                <w:lang w:eastAsia="en-AU"/>
              </w:rPr>
              <w:t>“The Regulations</w:t>
            </w:r>
          </w:p>
        </w:tc>
        <w:tc>
          <w:tcPr>
            <w:tcW w:w="7573" w:type="dxa"/>
          </w:tcPr>
          <w:p w14:paraId="75361570" w14:textId="264D14B9" w:rsidR="004C409B" w:rsidRPr="006805B4" w:rsidRDefault="004C409B" w:rsidP="006805B4">
            <w:pPr>
              <w:pStyle w:val="DPCtabletext"/>
              <w:rPr>
                <w:rFonts w:eastAsia="Arial"/>
                <w:lang w:eastAsia="en-AU"/>
              </w:rPr>
            </w:pPr>
            <w:r w:rsidRPr="004C409B">
              <w:rPr>
                <w:rFonts w:eastAsia="Arial"/>
                <w:lang w:eastAsia="en-AU"/>
              </w:rPr>
              <w:t>The Aboriginal Heritage</w:t>
            </w:r>
            <w:r>
              <w:rPr>
                <w:rFonts w:eastAsia="Arial"/>
                <w:lang w:eastAsia="en-AU"/>
              </w:rPr>
              <w:t xml:space="preserve"> Regulations 2018</w:t>
            </w:r>
          </w:p>
        </w:tc>
      </w:tr>
      <w:tr w:rsidR="006805B4" w:rsidRPr="006805B4" w14:paraId="0E345090" w14:textId="77777777" w:rsidTr="006805B4">
        <w:tc>
          <w:tcPr>
            <w:tcW w:w="1833" w:type="dxa"/>
          </w:tcPr>
          <w:p w14:paraId="518ACFEB" w14:textId="77777777" w:rsidR="006805B4" w:rsidRPr="006805B4" w:rsidRDefault="006805B4" w:rsidP="006805B4">
            <w:pPr>
              <w:pStyle w:val="DPCtabletext"/>
              <w:rPr>
                <w:rFonts w:eastAsia="Arial"/>
                <w:lang w:eastAsia="en-AU"/>
              </w:rPr>
            </w:pPr>
            <w:r>
              <w:rPr>
                <w:rFonts w:eastAsia="Arial"/>
                <w:lang w:eastAsia="en-AU"/>
              </w:rPr>
              <w:t>“</w:t>
            </w:r>
            <w:r w:rsidRPr="006805B4">
              <w:rPr>
                <w:rFonts w:eastAsia="Arial"/>
                <w:lang w:eastAsia="en-AU"/>
              </w:rPr>
              <w:t>SMART</w:t>
            </w:r>
            <w:r>
              <w:rPr>
                <w:rFonts w:eastAsia="Arial"/>
                <w:lang w:eastAsia="en-AU"/>
              </w:rPr>
              <w:t>”</w:t>
            </w:r>
          </w:p>
        </w:tc>
        <w:tc>
          <w:tcPr>
            <w:tcW w:w="7573" w:type="dxa"/>
          </w:tcPr>
          <w:p w14:paraId="5557390B" w14:textId="2B1F8E72" w:rsidR="006805B4" w:rsidRPr="006805B4" w:rsidRDefault="00034BD2" w:rsidP="006805B4">
            <w:pPr>
              <w:pStyle w:val="DPCtabletext"/>
              <w:rPr>
                <w:rFonts w:eastAsia="Arial"/>
                <w:lang w:eastAsia="en-AU"/>
              </w:rPr>
            </w:pPr>
            <w:r>
              <w:rPr>
                <w:rFonts w:eastAsia="Arial"/>
                <w:lang w:eastAsia="en-AU"/>
              </w:rPr>
              <w:t xml:space="preserve">The </w:t>
            </w:r>
            <w:r w:rsidR="006805B4">
              <w:rPr>
                <w:rFonts w:eastAsia="Arial"/>
                <w:lang w:eastAsia="en-AU"/>
              </w:rPr>
              <w:t>S</w:t>
            </w:r>
            <w:r>
              <w:rPr>
                <w:rFonts w:eastAsia="Arial"/>
                <w:lang w:eastAsia="en-AU"/>
              </w:rPr>
              <w:t>.</w:t>
            </w:r>
            <w:r w:rsidR="006805B4">
              <w:rPr>
                <w:rFonts w:eastAsia="Arial"/>
                <w:lang w:eastAsia="en-AU"/>
              </w:rPr>
              <w:t>M</w:t>
            </w:r>
            <w:r>
              <w:rPr>
                <w:rFonts w:eastAsia="Arial"/>
                <w:lang w:eastAsia="en-AU"/>
              </w:rPr>
              <w:t>.</w:t>
            </w:r>
            <w:r w:rsidR="006805B4">
              <w:rPr>
                <w:rFonts w:eastAsia="Arial"/>
                <w:lang w:eastAsia="en-AU"/>
              </w:rPr>
              <w:t>A</w:t>
            </w:r>
            <w:r>
              <w:rPr>
                <w:rFonts w:eastAsia="Arial"/>
                <w:lang w:eastAsia="en-AU"/>
              </w:rPr>
              <w:t>.</w:t>
            </w:r>
            <w:r w:rsidR="006805B4">
              <w:rPr>
                <w:rFonts w:eastAsia="Arial"/>
                <w:lang w:eastAsia="en-AU"/>
              </w:rPr>
              <w:t>R</w:t>
            </w:r>
            <w:r>
              <w:rPr>
                <w:rFonts w:eastAsia="Arial"/>
                <w:lang w:eastAsia="en-AU"/>
              </w:rPr>
              <w:t>.</w:t>
            </w:r>
            <w:r w:rsidR="006805B4">
              <w:rPr>
                <w:rFonts w:eastAsia="Arial"/>
                <w:lang w:eastAsia="en-AU"/>
              </w:rPr>
              <w:t>T</w:t>
            </w:r>
            <w:r>
              <w:rPr>
                <w:rFonts w:eastAsia="Arial"/>
                <w:lang w:eastAsia="en-AU"/>
              </w:rPr>
              <w:t>.</w:t>
            </w:r>
            <w:r w:rsidR="006805B4">
              <w:rPr>
                <w:rFonts w:eastAsia="Arial"/>
                <w:lang w:eastAsia="en-AU"/>
              </w:rPr>
              <w:t xml:space="preserve"> principle</w:t>
            </w:r>
          </w:p>
        </w:tc>
      </w:tr>
      <w:tr w:rsidR="006805B4" w:rsidRPr="006805B4" w14:paraId="3F275ECE" w14:textId="77777777" w:rsidTr="006805B4">
        <w:tc>
          <w:tcPr>
            <w:tcW w:w="1833" w:type="dxa"/>
          </w:tcPr>
          <w:p w14:paraId="08035791" w14:textId="77777777" w:rsidR="006805B4" w:rsidRPr="006805B4" w:rsidRDefault="006805B4" w:rsidP="006805B4">
            <w:pPr>
              <w:pStyle w:val="DPCtabletext"/>
              <w:rPr>
                <w:rFonts w:eastAsia="Arial"/>
                <w:lang w:eastAsia="en-AU"/>
              </w:rPr>
            </w:pPr>
            <w:r w:rsidRPr="006805B4">
              <w:rPr>
                <w:rFonts w:eastAsia="Arial"/>
                <w:lang w:eastAsia="en-AU"/>
              </w:rPr>
              <w:t>VAHR</w:t>
            </w:r>
          </w:p>
        </w:tc>
        <w:tc>
          <w:tcPr>
            <w:tcW w:w="7573" w:type="dxa"/>
          </w:tcPr>
          <w:p w14:paraId="03431272" w14:textId="77777777" w:rsidR="006805B4" w:rsidRPr="006805B4" w:rsidRDefault="006805B4" w:rsidP="006805B4">
            <w:pPr>
              <w:pStyle w:val="DPCtabletext"/>
              <w:rPr>
                <w:rFonts w:eastAsia="Arial"/>
                <w:lang w:eastAsia="en-AU"/>
              </w:rPr>
            </w:pPr>
            <w:r w:rsidRPr="006805B4">
              <w:rPr>
                <w:rFonts w:eastAsia="Arial"/>
                <w:lang w:eastAsia="en-AU"/>
              </w:rPr>
              <w:t>Victorian Aboriginal Heritage Register</w:t>
            </w:r>
          </w:p>
        </w:tc>
      </w:tr>
    </w:tbl>
    <w:p w14:paraId="646CD1F0" w14:textId="77777777" w:rsidR="006805B4" w:rsidRDefault="006805B4" w:rsidP="002C472F"/>
    <w:p w14:paraId="3DBED182" w14:textId="77777777" w:rsidR="009204F1" w:rsidRPr="009204F1" w:rsidRDefault="002C472F" w:rsidP="002C472F">
      <w:r>
        <w:br w:type="page"/>
      </w:r>
    </w:p>
    <w:p w14:paraId="5C784297" w14:textId="77777777" w:rsidR="0054104A" w:rsidRDefault="0054104A" w:rsidP="004527B1">
      <w:pPr>
        <w:pStyle w:val="Heading1"/>
        <w:numPr>
          <w:ilvl w:val="0"/>
          <w:numId w:val="10"/>
        </w:numPr>
        <w:spacing w:after="480"/>
        <w:ind w:left="425" w:hanging="425"/>
      </w:pPr>
      <w:bookmarkStart w:id="1" w:name="_Toc10450664"/>
      <w:bookmarkStart w:id="2" w:name="_Toc17445300"/>
      <w:r w:rsidRPr="007C3422">
        <w:lastRenderedPageBreak/>
        <w:t>Introduction</w:t>
      </w:r>
      <w:bookmarkEnd w:id="1"/>
      <w:bookmarkEnd w:id="2"/>
      <w:r>
        <w:t xml:space="preserve"> </w:t>
      </w:r>
    </w:p>
    <w:p w14:paraId="0C9F76F2" w14:textId="77777777" w:rsidR="0054104A" w:rsidRDefault="0054104A" w:rsidP="0054104A">
      <w:pPr>
        <w:pStyle w:val="DPCbody"/>
      </w:pPr>
      <w:r>
        <w:t xml:space="preserve">The </w:t>
      </w:r>
      <w:r w:rsidRPr="00843D1F">
        <w:rPr>
          <w:i/>
        </w:rPr>
        <w:t>Aboriginal Heritage Act 2006</w:t>
      </w:r>
      <w:r>
        <w:t xml:space="preserve"> (the Act) provides blanket protection for Aboriginal cultural heritage in Victoria. Conditions and contingency plans are required to manage Aboriginal cultural heritage in cultural heritage management plans (CHMPs), cultural heritage permits (CHPs) and Aboriginal cultural heritage land management agreements (ACHLMAs). Conditions and contingency plans written in these documents confer legal obligations on the holder that are enforceable under the Act.</w:t>
      </w:r>
    </w:p>
    <w:p w14:paraId="5CA2DE74" w14:textId="77777777" w:rsidR="0054104A" w:rsidRDefault="0054104A" w:rsidP="0054104A">
      <w:pPr>
        <w:pStyle w:val="DPCbody"/>
      </w:pPr>
      <w:r>
        <w:t>Writing clear and enforceable conditions and contingency plans is crucial for the successful implementation of the agreed process for managing Aboriginal cultural heritage, and to avoid unintended harm to Aboriginal cultural heritage and potential disputes about interpretation or meaning.</w:t>
      </w:r>
    </w:p>
    <w:p w14:paraId="6F3CFF59" w14:textId="7774FF10" w:rsidR="00E30414" w:rsidRPr="00FE51D3" w:rsidRDefault="0054104A" w:rsidP="0054104A">
      <w:pPr>
        <w:pStyle w:val="DPCbody"/>
      </w:pPr>
      <w:r>
        <w:t>Th</w:t>
      </w:r>
      <w:r w:rsidR="00843D1F">
        <w:t>e</w:t>
      </w:r>
      <w:r>
        <w:t xml:space="preserve"> </w:t>
      </w:r>
      <w:r w:rsidR="00843D1F" w:rsidRPr="00843D1F">
        <w:rPr>
          <w:i/>
        </w:rPr>
        <w:t>G</w:t>
      </w:r>
      <w:r w:rsidRPr="00843D1F">
        <w:rPr>
          <w:i/>
        </w:rPr>
        <w:t>uide</w:t>
      </w:r>
      <w:r w:rsidR="00843D1F" w:rsidRPr="00843D1F">
        <w:rPr>
          <w:i/>
        </w:rPr>
        <w:t xml:space="preserve"> for Developing Enforceable Conditions and Contingency Plans</w:t>
      </w:r>
      <w:r w:rsidR="00843D1F">
        <w:t xml:space="preserve"> (this guide) was</w:t>
      </w:r>
      <w:r>
        <w:t xml:space="preserve"> developed in consultation with Registered Aboriginal Parties (RAPs) and </w:t>
      </w:r>
      <w:r w:rsidR="00815FC3">
        <w:t xml:space="preserve">a </w:t>
      </w:r>
      <w:r>
        <w:t xml:space="preserve">technical advisory group from the heritage </w:t>
      </w:r>
      <w:r w:rsidR="00815FC3">
        <w:t>field</w:t>
      </w:r>
      <w:r w:rsidR="00843D1F">
        <w:t>.</w:t>
      </w:r>
      <w:r>
        <w:t xml:space="preserve"> </w:t>
      </w:r>
      <w:r w:rsidR="00843D1F">
        <w:t xml:space="preserve">It </w:t>
      </w:r>
      <w:r>
        <w:t>is a drafting tool for developing and assessing conditions and contingency plans to be enforceable under the Act.</w:t>
      </w:r>
    </w:p>
    <w:p w14:paraId="121CF92A" w14:textId="77777777" w:rsidR="0054104A" w:rsidRPr="006C4752" w:rsidRDefault="0054104A" w:rsidP="009A6BA0">
      <w:pPr>
        <w:pStyle w:val="Heading2"/>
        <w:numPr>
          <w:ilvl w:val="1"/>
          <w:numId w:val="10"/>
        </w:numPr>
        <w:ind w:left="284" w:hanging="284"/>
        <w:rPr>
          <w:rFonts w:eastAsia="Calibri"/>
          <w:sz w:val="32"/>
          <w:szCs w:val="32"/>
        </w:rPr>
      </w:pPr>
      <w:bookmarkStart w:id="3" w:name="_Toc10450665"/>
      <w:bookmarkStart w:id="4" w:name="_Toc17445301"/>
      <w:r w:rsidRPr="006C4752">
        <w:rPr>
          <w:rFonts w:eastAsia="Calibri"/>
          <w:sz w:val="32"/>
          <w:szCs w:val="32"/>
        </w:rPr>
        <w:t>Purpose and Scope</w:t>
      </w:r>
      <w:bookmarkEnd w:id="3"/>
      <w:bookmarkEnd w:id="4"/>
    </w:p>
    <w:p w14:paraId="7C8F6F3C" w14:textId="77777777" w:rsidR="0054104A" w:rsidRDefault="0054104A" w:rsidP="0026059B">
      <w:pPr>
        <w:pStyle w:val="DPCbullet1"/>
        <w:numPr>
          <w:ilvl w:val="0"/>
          <w:numId w:val="15"/>
        </w:numPr>
        <w:ind w:hanging="568"/>
      </w:pPr>
      <w:r w:rsidRPr="0009200C">
        <w:t>This guide provid</w:t>
      </w:r>
      <w:r>
        <w:t>es</w:t>
      </w:r>
      <w:r w:rsidRPr="0009200C">
        <w:t xml:space="preserve"> key considerations to avoid common pitfalls when writing conditions or contingenc</w:t>
      </w:r>
      <w:r>
        <w:t>y plan</w:t>
      </w:r>
      <w:r w:rsidRPr="0009200C">
        <w:t xml:space="preserve">s. </w:t>
      </w:r>
    </w:p>
    <w:p w14:paraId="25AB4CBB" w14:textId="77777777" w:rsidR="0054104A" w:rsidRDefault="0054104A" w:rsidP="0026059B">
      <w:pPr>
        <w:pStyle w:val="DPCbullet1"/>
        <w:numPr>
          <w:ilvl w:val="0"/>
          <w:numId w:val="15"/>
        </w:numPr>
        <w:ind w:hanging="568"/>
      </w:pPr>
      <w:r w:rsidRPr="0009200C">
        <w:t>Th</w:t>
      </w:r>
      <w:r>
        <w:t>is</w:t>
      </w:r>
      <w:r w:rsidRPr="0009200C">
        <w:t xml:space="preserve"> guide can assist </w:t>
      </w:r>
      <w:r>
        <w:t>to assess enforceability</w:t>
      </w:r>
      <w:r w:rsidRPr="0009200C">
        <w:t xml:space="preserve"> by providing </w:t>
      </w:r>
      <w:r>
        <w:t>key criteria</w:t>
      </w:r>
      <w:r w:rsidRPr="0009200C">
        <w:t xml:space="preserve"> to test against. </w:t>
      </w:r>
    </w:p>
    <w:p w14:paraId="37AB6632" w14:textId="77777777" w:rsidR="00E30414" w:rsidRPr="00C34AB7" w:rsidRDefault="0054104A" w:rsidP="0026059B">
      <w:pPr>
        <w:pStyle w:val="DPCbullet1"/>
        <w:numPr>
          <w:ilvl w:val="0"/>
          <w:numId w:val="15"/>
        </w:numPr>
        <w:ind w:hanging="568"/>
      </w:pPr>
      <w:r w:rsidRPr="0009200C">
        <w:t>Th</w:t>
      </w:r>
      <w:r>
        <w:t>is</w:t>
      </w:r>
      <w:r w:rsidRPr="0009200C">
        <w:t xml:space="preserve"> guide is not intended to be prescriptive or provide standardised conditions or </w:t>
      </w:r>
      <w:r>
        <w:t>contingency plans</w:t>
      </w:r>
      <w:r w:rsidRPr="0009200C">
        <w:t>.</w:t>
      </w:r>
    </w:p>
    <w:p w14:paraId="457C51D9" w14:textId="77777777" w:rsidR="0054104A" w:rsidRPr="009B7939" w:rsidRDefault="0054104A" w:rsidP="0026059B">
      <w:pPr>
        <w:pStyle w:val="DPCbullet1"/>
        <w:numPr>
          <w:ilvl w:val="0"/>
          <w:numId w:val="15"/>
        </w:numPr>
        <w:ind w:hanging="568"/>
      </w:pPr>
      <w:r w:rsidRPr="009B7939">
        <w:t>This guide aims to:</w:t>
      </w:r>
    </w:p>
    <w:p w14:paraId="4D5CC8D3" w14:textId="77777777" w:rsidR="0054104A" w:rsidRPr="00C34AB7" w:rsidRDefault="0054104A" w:rsidP="0026059B">
      <w:pPr>
        <w:pStyle w:val="DPCbullet2"/>
        <w:numPr>
          <w:ilvl w:val="1"/>
          <w:numId w:val="14"/>
        </w:numPr>
        <w:tabs>
          <w:tab w:val="clear" w:pos="284"/>
          <w:tab w:val="num" w:pos="851"/>
        </w:tabs>
        <w:ind w:left="1418" w:hanging="567"/>
      </w:pPr>
      <w:r>
        <w:t>p</w:t>
      </w:r>
      <w:r w:rsidRPr="00BD0368">
        <w:t xml:space="preserve">rovide considerations to support </w:t>
      </w:r>
      <w:r>
        <w:t xml:space="preserve">the </w:t>
      </w:r>
      <w:r w:rsidRPr="00BD0368">
        <w:t>drafting</w:t>
      </w:r>
      <w:r>
        <w:t xml:space="preserve"> of</w:t>
      </w:r>
      <w:r w:rsidRPr="00BD0368">
        <w:t xml:space="preserve"> conditions</w:t>
      </w:r>
      <w:r>
        <w:t xml:space="preserve"> and contingency plan</w:t>
      </w:r>
      <w:r w:rsidRPr="00BD0368">
        <w:t>s</w:t>
      </w:r>
      <w:r>
        <w:t xml:space="preserve"> for CHMPs, CHPs and ACHLMAs; and</w:t>
      </w:r>
    </w:p>
    <w:p w14:paraId="08EEBB14" w14:textId="677C2B69" w:rsidR="00E30414" w:rsidRPr="00C34AB7" w:rsidRDefault="0054104A" w:rsidP="004527B1">
      <w:pPr>
        <w:pStyle w:val="DPCbullet2"/>
        <w:numPr>
          <w:ilvl w:val="1"/>
          <w:numId w:val="14"/>
        </w:numPr>
        <w:tabs>
          <w:tab w:val="clear" w:pos="284"/>
          <w:tab w:val="num" w:pos="851"/>
        </w:tabs>
        <w:ind w:left="1418" w:hanging="567"/>
      </w:pPr>
      <w:r>
        <w:t>i</w:t>
      </w:r>
      <w:r w:rsidRPr="00BD0368">
        <w:t xml:space="preserve">mprove </w:t>
      </w:r>
      <w:r>
        <w:t xml:space="preserve">the </w:t>
      </w:r>
      <w:r w:rsidRPr="00BD0368">
        <w:t>quality</w:t>
      </w:r>
      <w:r>
        <w:t>, enforceability</w:t>
      </w:r>
      <w:r w:rsidRPr="00BD0368">
        <w:t xml:space="preserve"> and consistency in</w:t>
      </w:r>
      <w:r>
        <w:t xml:space="preserve"> Aboriginal</w:t>
      </w:r>
      <w:r w:rsidRPr="00BD0368">
        <w:t xml:space="preserve"> cul</w:t>
      </w:r>
      <w:r>
        <w:t>tural heritage management.</w:t>
      </w:r>
    </w:p>
    <w:p w14:paraId="498BAE54" w14:textId="77777777" w:rsidR="0054104A" w:rsidRPr="006C4752" w:rsidRDefault="0054104A" w:rsidP="009A6BA0">
      <w:pPr>
        <w:pStyle w:val="Heading2"/>
        <w:numPr>
          <w:ilvl w:val="1"/>
          <w:numId w:val="10"/>
        </w:numPr>
        <w:ind w:left="284" w:hanging="284"/>
        <w:rPr>
          <w:rFonts w:eastAsia="Calibri"/>
          <w:sz w:val="32"/>
          <w:szCs w:val="32"/>
        </w:rPr>
      </w:pPr>
      <w:bookmarkStart w:id="5" w:name="_Toc10450666"/>
      <w:bookmarkStart w:id="6" w:name="_Toc17445302"/>
      <w:r w:rsidRPr="006C4752">
        <w:rPr>
          <w:rFonts w:eastAsia="Calibri"/>
          <w:sz w:val="32"/>
          <w:szCs w:val="32"/>
        </w:rPr>
        <w:t>Conditions or Contingency Plan?</w:t>
      </w:r>
      <w:bookmarkEnd w:id="5"/>
      <w:bookmarkEnd w:id="6"/>
    </w:p>
    <w:p w14:paraId="0EABB1F9" w14:textId="77777777" w:rsidR="0054104A" w:rsidRDefault="0054104A" w:rsidP="0054104A">
      <w:pPr>
        <w:pStyle w:val="DPCbody"/>
      </w:pPr>
      <w:r>
        <w:t>Conditions and contingency plans are used in different situations</w:t>
      </w:r>
      <w:r w:rsidR="00C53D29">
        <w:t xml:space="preserve"> or </w:t>
      </w:r>
      <w:r>
        <w:t xml:space="preserve">contexts. </w:t>
      </w:r>
    </w:p>
    <w:p w14:paraId="6BD74EAF" w14:textId="77777777" w:rsidR="0054104A" w:rsidRPr="006C4752" w:rsidRDefault="0054104A" w:rsidP="009A6BA0">
      <w:pPr>
        <w:pStyle w:val="Heading3"/>
        <w:numPr>
          <w:ilvl w:val="2"/>
          <w:numId w:val="10"/>
        </w:numPr>
        <w:ind w:left="993" w:hanging="993"/>
        <w:rPr>
          <w:sz w:val="28"/>
          <w:szCs w:val="28"/>
        </w:rPr>
      </w:pPr>
      <w:r w:rsidRPr="006C4752">
        <w:rPr>
          <w:sz w:val="28"/>
          <w:szCs w:val="28"/>
        </w:rPr>
        <w:t>Conditions:</w:t>
      </w:r>
    </w:p>
    <w:p w14:paraId="3DF27660" w14:textId="77777777" w:rsidR="00AF4D3F" w:rsidRPr="00C34AB7" w:rsidRDefault="0054104A" w:rsidP="006D7199">
      <w:pPr>
        <w:pStyle w:val="DPCbodyafterbullets"/>
      </w:pPr>
      <w:r w:rsidRPr="009B1E34">
        <w:t>Confer legal obligation and responsibility to the Sponsor</w:t>
      </w:r>
      <w:r>
        <w:t xml:space="preserve"> of a CHMP or holder of a CHP</w:t>
      </w:r>
      <w:r w:rsidRPr="009B1E34">
        <w:t xml:space="preserve"> and are requirements</w:t>
      </w:r>
      <w:r>
        <w:t xml:space="preserve"> that are</w:t>
      </w:r>
      <w:r w:rsidRPr="009B1E34">
        <w:t xml:space="preserve"> enforceable under legislation.</w:t>
      </w:r>
      <w:r>
        <w:t xml:space="preserve"> They are generally used in the context of well understood cultural heritage. Conditions must be met to allow the harm specified in the statutory authorisation to occur legally.</w:t>
      </w:r>
      <w:r w:rsidR="00351AA1">
        <w:t xml:space="preserve"> Conditions usually specify an action that must be undertaken.</w:t>
      </w:r>
    </w:p>
    <w:p w14:paraId="2EA82230" w14:textId="77777777" w:rsidR="0054104A" w:rsidRPr="006C4752" w:rsidRDefault="0054104A" w:rsidP="009A6BA0">
      <w:pPr>
        <w:pStyle w:val="Heading3"/>
        <w:numPr>
          <w:ilvl w:val="2"/>
          <w:numId w:val="10"/>
        </w:numPr>
        <w:ind w:left="993" w:hanging="993"/>
        <w:rPr>
          <w:sz w:val="28"/>
          <w:szCs w:val="28"/>
        </w:rPr>
      </w:pPr>
      <w:r w:rsidRPr="006C4752">
        <w:rPr>
          <w:sz w:val="28"/>
          <w:szCs w:val="28"/>
        </w:rPr>
        <w:lastRenderedPageBreak/>
        <w:t>Contingency plans:</w:t>
      </w:r>
    </w:p>
    <w:p w14:paraId="03344DC1" w14:textId="77777777" w:rsidR="0054104A" w:rsidRDefault="0054104A" w:rsidP="0054104A">
      <w:pPr>
        <w:pStyle w:val="DPCbody"/>
      </w:pPr>
      <w:r>
        <w:t xml:space="preserve">Only confer obligation and responsibility if a specific set of circumstances exist. This is usually in the event of the discovery of cultural heritage or a situation that was not foreseen during the development of the conditions. </w:t>
      </w:r>
    </w:p>
    <w:p w14:paraId="08978F14" w14:textId="77777777" w:rsidR="0054104A" w:rsidRDefault="0054104A" w:rsidP="0054104A">
      <w:pPr>
        <w:pStyle w:val="DPCbody"/>
        <w:rPr>
          <w:i/>
        </w:rPr>
      </w:pPr>
      <w:r w:rsidRPr="0054104A">
        <w:rPr>
          <w:i/>
        </w:rPr>
        <w:t>Contingencies often read: “if X happens, then do A, B, C”.</w:t>
      </w:r>
    </w:p>
    <w:p w14:paraId="39589AF4" w14:textId="77777777" w:rsidR="00786051" w:rsidRPr="006C4752" w:rsidRDefault="00786051" w:rsidP="009A6BA0">
      <w:pPr>
        <w:pStyle w:val="Heading2"/>
        <w:numPr>
          <w:ilvl w:val="1"/>
          <w:numId w:val="10"/>
        </w:numPr>
        <w:ind w:left="284" w:hanging="284"/>
        <w:rPr>
          <w:rFonts w:eastAsia="Calibri"/>
          <w:sz w:val="32"/>
          <w:szCs w:val="32"/>
        </w:rPr>
      </w:pPr>
      <w:bookmarkStart w:id="7" w:name="_Toc10450667"/>
      <w:bookmarkStart w:id="8" w:name="_Toc17445303"/>
      <w:r w:rsidRPr="006C4752">
        <w:rPr>
          <w:rFonts w:eastAsia="Calibri"/>
          <w:sz w:val="32"/>
          <w:szCs w:val="32"/>
        </w:rPr>
        <w:t>SMART Conditions and Contingency Plans</w:t>
      </w:r>
      <w:bookmarkEnd w:id="7"/>
      <w:bookmarkEnd w:id="8"/>
    </w:p>
    <w:p w14:paraId="173D6551" w14:textId="77777777" w:rsidR="00786051" w:rsidRDefault="00786051" w:rsidP="00786051">
      <w:pPr>
        <w:pStyle w:val="DPCbody"/>
      </w:pPr>
      <w:r>
        <w:t xml:space="preserve">The </w:t>
      </w:r>
      <w:r w:rsidRPr="009B7939">
        <w:rPr>
          <w:b/>
        </w:rPr>
        <w:t>SMART</w:t>
      </w:r>
      <w:r>
        <w:t xml:space="preserve"> principle is a useful method or lens to apply when drafting or assessing conditions and contingency plans.  </w:t>
      </w:r>
    </w:p>
    <w:p w14:paraId="29648116" w14:textId="77777777" w:rsidR="00786051" w:rsidRDefault="00786051" w:rsidP="00786051">
      <w:pPr>
        <w:pStyle w:val="DPCbody"/>
      </w:pPr>
      <w:r>
        <w:t>Table 1 outlines and provides examples for each component of SMART.</w:t>
      </w:r>
    </w:p>
    <w:p w14:paraId="0FB8E65D" w14:textId="77777777" w:rsidR="00786051" w:rsidRPr="00786051" w:rsidRDefault="00786051" w:rsidP="00786051">
      <w:pPr>
        <w:pStyle w:val="DPCbody"/>
      </w:pPr>
      <w:r>
        <w:t>Using the SMART principle can assist with ensuring conditions and contingency plans are as clear and enforceable as possible.</w:t>
      </w:r>
    </w:p>
    <w:p w14:paraId="436A2832" w14:textId="77777777" w:rsidR="00786051" w:rsidRDefault="00786051">
      <w:r>
        <w:br w:type="page"/>
      </w:r>
    </w:p>
    <w:p w14:paraId="5A94D8A9" w14:textId="77777777" w:rsidR="0033747E" w:rsidRPr="00FE51D3" w:rsidRDefault="0033747E" w:rsidP="0033747E">
      <w:pPr>
        <w:pStyle w:val="DPCtablecaption"/>
      </w:pPr>
      <w:bookmarkStart w:id="9" w:name="_Toc15644184"/>
      <w:r>
        <w:lastRenderedPageBreak/>
        <w:t>Table 1: The SMART principle</w:t>
      </w:r>
      <w:bookmarkEnd w:id="9"/>
    </w:p>
    <w:tbl>
      <w:tblPr>
        <w:tblStyle w:val="TableGrid"/>
        <w:tblW w:w="5000" w:type="pct"/>
        <w:tblLook w:val="04A0" w:firstRow="1" w:lastRow="0" w:firstColumn="1" w:lastColumn="0" w:noHBand="0" w:noVBand="1"/>
      </w:tblPr>
      <w:tblGrid>
        <w:gridCol w:w="1933"/>
        <w:gridCol w:w="3664"/>
        <w:gridCol w:w="4257"/>
      </w:tblGrid>
      <w:tr w:rsidR="00786051" w:rsidRPr="00983281" w14:paraId="090D245B" w14:textId="77777777" w:rsidTr="00BB1969">
        <w:trPr>
          <w:cantSplit/>
          <w:trHeight w:val="416"/>
          <w:tblHeader/>
        </w:trPr>
        <w:tc>
          <w:tcPr>
            <w:tcW w:w="981" w:type="pct"/>
            <w:shd w:val="clear" w:color="auto" w:fill="auto"/>
          </w:tcPr>
          <w:p w14:paraId="1B48A4B6" w14:textId="77777777" w:rsidR="00786051" w:rsidRPr="00983281" w:rsidRDefault="00786051" w:rsidP="002E7AE2">
            <w:pPr>
              <w:pStyle w:val="DPCtablecolhead"/>
            </w:pPr>
          </w:p>
        </w:tc>
        <w:tc>
          <w:tcPr>
            <w:tcW w:w="1859" w:type="pct"/>
            <w:shd w:val="clear" w:color="auto" w:fill="auto"/>
          </w:tcPr>
          <w:p w14:paraId="4CE3A160" w14:textId="77777777" w:rsidR="00786051" w:rsidRPr="00983281" w:rsidRDefault="00786051" w:rsidP="002E7AE2">
            <w:pPr>
              <w:pStyle w:val="DPCtablecolhead"/>
            </w:pPr>
            <w:r w:rsidRPr="00983281">
              <w:t>Description</w:t>
            </w:r>
          </w:p>
        </w:tc>
        <w:tc>
          <w:tcPr>
            <w:tcW w:w="2160" w:type="pct"/>
            <w:shd w:val="clear" w:color="auto" w:fill="auto"/>
          </w:tcPr>
          <w:p w14:paraId="53B2AFBF" w14:textId="77777777" w:rsidR="00786051" w:rsidRPr="00983281" w:rsidRDefault="00786051" w:rsidP="002E7AE2">
            <w:pPr>
              <w:pStyle w:val="DPCtablecolhead"/>
            </w:pPr>
            <w:r w:rsidRPr="00983281">
              <w:t>Example</w:t>
            </w:r>
            <w:r>
              <w:t>s</w:t>
            </w:r>
          </w:p>
        </w:tc>
      </w:tr>
      <w:tr w:rsidR="00786051" w:rsidRPr="00983281" w14:paraId="0C964FAD" w14:textId="77777777" w:rsidTr="00BB1969">
        <w:trPr>
          <w:cantSplit/>
          <w:trHeight w:val="416"/>
          <w:tblHeader/>
        </w:trPr>
        <w:tc>
          <w:tcPr>
            <w:tcW w:w="981" w:type="pct"/>
          </w:tcPr>
          <w:p w14:paraId="58387519" w14:textId="77777777" w:rsidR="00786051" w:rsidRPr="00983281" w:rsidRDefault="00786051" w:rsidP="002E7AE2">
            <w:pPr>
              <w:pStyle w:val="DPCtablecolhead"/>
              <w:rPr>
                <w:color w:val="FF0000"/>
              </w:rPr>
            </w:pPr>
            <w:r w:rsidRPr="00983281">
              <w:rPr>
                <w:color w:val="FF0000"/>
              </w:rPr>
              <w:t>S</w:t>
            </w:r>
            <w:r w:rsidRPr="00786051">
              <w:t>pecific</w:t>
            </w:r>
          </w:p>
        </w:tc>
        <w:tc>
          <w:tcPr>
            <w:tcW w:w="1859" w:type="pct"/>
          </w:tcPr>
          <w:p w14:paraId="08F12936" w14:textId="77777777" w:rsidR="00786051" w:rsidRDefault="00786051" w:rsidP="002E7AE2">
            <w:pPr>
              <w:pStyle w:val="DPCtabletext"/>
            </w:pPr>
            <w:r w:rsidRPr="00983281">
              <w:t xml:space="preserve">Conditions and contingency plans must be written to be specific, well defined and clear to anyone who </w:t>
            </w:r>
            <w:r>
              <w:t>may become</w:t>
            </w:r>
            <w:r w:rsidRPr="00983281">
              <w:t xml:space="preserve"> involved </w:t>
            </w:r>
            <w:r>
              <w:t>with</w:t>
            </w:r>
            <w:r w:rsidRPr="00983281">
              <w:t xml:space="preserve"> the activity. </w:t>
            </w:r>
          </w:p>
          <w:p w14:paraId="26C6AA07" w14:textId="77777777" w:rsidR="00786051" w:rsidRPr="00983281" w:rsidRDefault="00786051" w:rsidP="002E7AE2">
            <w:pPr>
              <w:pStyle w:val="DPCtabletext"/>
            </w:pPr>
            <w:r w:rsidRPr="00983281">
              <w:t>It is important to consider how the requirement of the condition</w:t>
            </w:r>
            <w:r w:rsidR="00C53D29">
              <w:t xml:space="preserve"> or </w:t>
            </w:r>
            <w:r w:rsidRPr="00983281">
              <w:t xml:space="preserve">contingency will be </w:t>
            </w:r>
            <w:r>
              <w:t>met</w:t>
            </w:r>
            <w:r w:rsidRPr="00983281">
              <w:t xml:space="preserve">; who, what, when, where and how. </w:t>
            </w:r>
          </w:p>
          <w:p w14:paraId="6D770692" w14:textId="096FF02E" w:rsidR="00786051" w:rsidRPr="00983281" w:rsidRDefault="00786051" w:rsidP="006C4752">
            <w:pPr>
              <w:pStyle w:val="DPCtabletext"/>
              <w:spacing w:after="120"/>
            </w:pPr>
            <w:r w:rsidRPr="00983281">
              <w:t xml:space="preserve">Conditions must identify </w:t>
            </w:r>
            <w:r w:rsidR="00B7427B">
              <w:t>who must complete a task</w:t>
            </w:r>
            <w:r w:rsidRPr="00983281">
              <w:t xml:space="preserve">, i.e. the sponsor, the heritage advisor, the RAP, a qualified specialist with specific expertise </w:t>
            </w:r>
            <w:r>
              <w:t>or</w:t>
            </w:r>
            <w:r w:rsidRPr="00983281">
              <w:t xml:space="preserve"> another relevant party.</w:t>
            </w:r>
            <w:r>
              <w:t xml:space="preserve"> </w:t>
            </w:r>
          </w:p>
        </w:tc>
        <w:tc>
          <w:tcPr>
            <w:tcW w:w="2160" w:type="pct"/>
          </w:tcPr>
          <w:p w14:paraId="0A440BA6" w14:textId="77777777" w:rsidR="00786051" w:rsidRDefault="00786051" w:rsidP="002E7AE2">
            <w:pPr>
              <w:pStyle w:val="DPCtabletext"/>
              <w:rPr>
                <w:i/>
              </w:rPr>
            </w:pPr>
            <w:r w:rsidRPr="007969F9">
              <w:t xml:space="preserve">Cross reference the condition to </w:t>
            </w:r>
            <w:r>
              <w:t xml:space="preserve">a </w:t>
            </w:r>
            <w:r w:rsidRPr="007969F9">
              <w:t>relevant map or diagram</w:t>
            </w:r>
            <w:r>
              <w:t xml:space="preserve"> in the CHMP.</w:t>
            </w:r>
          </w:p>
          <w:p w14:paraId="6F7F957A" w14:textId="77777777" w:rsidR="00786051" w:rsidRPr="007969F9" w:rsidRDefault="00786051" w:rsidP="002E7AE2">
            <w:pPr>
              <w:pStyle w:val="DPCtabletext"/>
              <w:rPr>
                <w:i/>
              </w:rPr>
            </w:pPr>
            <w:r w:rsidRPr="00ED17DE">
              <w:t>For example:</w:t>
            </w:r>
            <w:r w:rsidRPr="007969F9">
              <w:rPr>
                <w:i/>
              </w:rPr>
              <w:t xml:space="preserve"> ‘Map 6 shows the location of temporary protective fencing to be installed at a minimum of 10 metres from the </w:t>
            </w:r>
            <w:r>
              <w:rPr>
                <w:i/>
              </w:rPr>
              <w:t xml:space="preserve">outside </w:t>
            </w:r>
            <w:r w:rsidRPr="007969F9">
              <w:rPr>
                <w:i/>
              </w:rPr>
              <w:t>extent of ABC Artefact Scatter VAHR XXXX-XXXX.  The temporary fencing must be erected by the Sponsor or their representative prior to the commencement of any works for this activity</w:t>
            </w:r>
            <w:r>
              <w:rPr>
                <w:i/>
              </w:rPr>
              <w:t>. This fencing may be removed after the completion of the activity</w:t>
            </w:r>
            <w:r w:rsidRPr="007969F9">
              <w:rPr>
                <w:i/>
              </w:rPr>
              <w:t>.</w:t>
            </w:r>
            <w:r>
              <w:rPr>
                <w:i/>
              </w:rPr>
              <w:t>’</w:t>
            </w:r>
          </w:p>
        </w:tc>
      </w:tr>
      <w:tr w:rsidR="00786051" w:rsidRPr="00983281" w14:paraId="418C69E6" w14:textId="77777777" w:rsidTr="00BB1969">
        <w:trPr>
          <w:cantSplit/>
          <w:tblHeader/>
        </w:trPr>
        <w:tc>
          <w:tcPr>
            <w:tcW w:w="981" w:type="pct"/>
          </w:tcPr>
          <w:p w14:paraId="7D7B581E" w14:textId="77777777" w:rsidR="00786051" w:rsidRPr="00983281" w:rsidRDefault="00786051" w:rsidP="002E7AE2">
            <w:pPr>
              <w:pStyle w:val="DPCtablecolhead"/>
            </w:pPr>
            <w:r w:rsidRPr="00983281">
              <w:rPr>
                <w:color w:val="FF0000"/>
              </w:rPr>
              <w:t>M</w:t>
            </w:r>
            <w:r w:rsidRPr="00786051">
              <w:t>easurable</w:t>
            </w:r>
          </w:p>
        </w:tc>
        <w:tc>
          <w:tcPr>
            <w:tcW w:w="1859" w:type="pct"/>
          </w:tcPr>
          <w:p w14:paraId="7FF0608B" w14:textId="77777777" w:rsidR="00786051" w:rsidRPr="00983281" w:rsidRDefault="00786051" w:rsidP="002E7AE2">
            <w:pPr>
              <w:pStyle w:val="DPCtabletext"/>
            </w:pPr>
            <w:r w:rsidRPr="00983281">
              <w:t xml:space="preserve">Conditions and contingency plans need to be measurable and quantifiable. </w:t>
            </w:r>
            <w:r>
              <w:t>This means t</w:t>
            </w:r>
            <w:r w:rsidRPr="00983281">
              <w:t>he progress and final outcome of the condition or contingency plan must be trackable</w:t>
            </w:r>
            <w:r>
              <w:t>.</w:t>
            </w:r>
          </w:p>
        </w:tc>
        <w:tc>
          <w:tcPr>
            <w:tcW w:w="2160" w:type="pct"/>
          </w:tcPr>
          <w:p w14:paraId="43B4B932" w14:textId="77777777" w:rsidR="00786051" w:rsidRDefault="00786051" w:rsidP="002E7AE2">
            <w:pPr>
              <w:pStyle w:val="DPCtabletext"/>
            </w:pPr>
            <w:r w:rsidRPr="00983281">
              <w:t xml:space="preserve">A measurable condition or contingency plan will </w:t>
            </w:r>
            <w:r w:rsidRPr="00ED17DE">
              <w:t xml:space="preserve">stipulate, clearly </w:t>
            </w:r>
            <w:r w:rsidRPr="00983281">
              <w:t>when the outcome is achieved</w:t>
            </w:r>
            <w:r>
              <w:t>.</w:t>
            </w:r>
          </w:p>
          <w:p w14:paraId="07318105" w14:textId="77777777" w:rsidR="00786051" w:rsidRDefault="00786051" w:rsidP="002E7AE2">
            <w:pPr>
              <w:pStyle w:val="DPCtabletext"/>
            </w:pPr>
            <w:r w:rsidRPr="00617AAC">
              <w:t>For example:</w:t>
            </w:r>
          </w:p>
          <w:p w14:paraId="112F45BB" w14:textId="77777777" w:rsidR="00786051" w:rsidRDefault="00786051" w:rsidP="002E7AE2">
            <w:pPr>
              <w:pStyle w:val="DPCtabletext"/>
            </w:pPr>
            <w:r w:rsidRPr="00617AAC">
              <w:t xml:space="preserve"> ‘</w:t>
            </w:r>
            <w:r w:rsidRPr="00617AAC">
              <w:rPr>
                <w:i/>
              </w:rPr>
              <w:t>Six months after completion of the project’</w:t>
            </w:r>
            <w:r w:rsidRPr="00617AAC">
              <w:t xml:space="preserve"> is</w:t>
            </w:r>
            <w:r w:rsidRPr="00617AAC">
              <w:rPr>
                <w:b/>
              </w:rPr>
              <w:t xml:space="preserve"> NOT</w:t>
            </w:r>
            <w:r w:rsidRPr="00617AAC">
              <w:t xml:space="preserve"> measurable</w:t>
            </w:r>
            <w:r>
              <w:t xml:space="preserve"> because it isn’t clear as to what constitutes ‘completion of the project’.</w:t>
            </w:r>
          </w:p>
          <w:p w14:paraId="5D92D127" w14:textId="77777777" w:rsidR="00786051" w:rsidRDefault="00786051" w:rsidP="002E7AE2">
            <w:pPr>
              <w:pStyle w:val="DPCtabletext"/>
            </w:pPr>
            <w:r w:rsidRPr="00617AAC">
              <w:t>Whereas:</w:t>
            </w:r>
          </w:p>
          <w:p w14:paraId="646EA42D" w14:textId="77777777" w:rsidR="00786051" w:rsidRPr="00617AAC" w:rsidRDefault="00786051" w:rsidP="002E7AE2">
            <w:pPr>
              <w:pStyle w:val="DPCtabletext"/>
            </w:pPr>
            <w:r w:rsidRPr="00617AAC">
              <w:t xml:space="preserve"> ‘</w:t>
            </w:r>
            <w:r w:rsidRPr="00617AAC">
              <w:rPr>
                <w:i/>
              </w:rPr>
              <w:t>Six months from the date the planning permit is signed’</w:t>
            </w:r>
            <w:r w:rsidRPr="00617AAC">
              <w:t xml:space="preserve">, </w:t>
            </w:r>
            <w:r w:rsidRPr="00617AAC">
              <w:rPr>
                <w:b/>
              </w:rPr>
              <w:t>IS</w:t>
            </w:r>
            <w:r w:rsidRPr="00617AAC">
              <w:t xml:space="preserve"> both identifiable and measurable.</w:t>
            </w:r>
          </w:p>
          <w:p w14:paraId="039D387B" w14:textId="77777777" w:rsidR="00786051" w:rsidRPr="00983281" w:rsidRDefault="00786051" w:rsidP="006C4752">
            <w:pPr>
              <w:pStyle w:val="DPCtabletext"/>
              <w:spacing w:after="120"/>
            </w:pPr>
            <w:r w:rsidRPr="00617AAC">
              <w:t xml:space="preserve">‘If necessary’ is </w:t>
            </w:r>
            <w:r w:rsidRPr="00617AAC">
              <w:rPr>
                <w:b/>
              </w:rPr>
              <w:t>NOT</w:t>
            </w:r>
            <w:r w:rsidRPr="00617AAC">
              <w:t xml:space="preserve"> a measurable term, as it does not specify what action would be considered necessary. For example, ‘</w:t>
            </w:r>
            <w:r w:rsidRPr="00617AAC">
              <w:rPr>
                <w:i/>
              </w:rPr>
              <w:t>The Traditional Owner groups may attend this induction if necessary</w:t>
            </w:r>
            <w:r w:rsidRPr="00617AAC">
              <w:t xml:space="preserve">’. To be measurable, the sentence instead </w:t>
            </w:r>
            <w:r>
              <w:t>might</w:t>
            </w:r>
            <w:r w:rsidRPr="00617AAC">
              <w:t xml:space="preserve"> read: ‘</w:t>
            </w:r>
            <w:r w:rsidRPr="00617AAC">
              <w:rPr>
                <w:i/>
              </w:rPr>
              <w:t>the Traditional Owner groups may attend this induction if they choose to participate</w:t>
            </w:r>
            <w:r w:rsidRPr="00617AAC">
              <w:t>’.</w:t>
            </w:r>
          </w:p>
        </w:tc>
      </w:tr>
      <w:tr w:rsidR="00786051" w:rsidRPr="00983281" w14:paraId="1CAB95A9" w14:textId="77777777" w:rsidTr="00BB1969">
        <w:trPr>
          <w:cantSplit/>
          <w:tblHeader/>
        </w:trPr>
        <w:tc>
          <w:tcPr>
            <w:tcW w:w="981" w:type="pct"/>
          </w:tcPr>
          <w:p w14:paraId="42C784A1" w14:textId="77777777" w:rsidR="00786051" w:rsidRPr="00786051" w:rsidRDefault="00786051" w:rsidP="002E7AE2">
            <w:pPr>
              <w:pStyle w:val="DPCtablecolhead"/>
            </w:pPr>
            <w:r w:rsidRPr="00786051">
              <w:rPr>
                <w:color w:val="FF0000"/>
              </w:rPr>
              <w:t>A</w:t>
            </w:r>
            <w:r w:rsidRPr="00786051">
              <w:t>chievable/</w:t>
            </w:r>
          </w:p>
          <w:p w14:paraId="7B37F9CA" w14:textId="77777777" w:rsidR="00786051" w:rsidRPr="00786051" w:rsidRDefault="00786051" w:rsidP="002E7AE2">
            <w:pPr>
              <w:pStyle w:val="DPCtablecolhead"/>
            </w:pPr>
            <w:r w:rsidRPr="00786051">
              <w:rPr>
                <w:color w:val="FF0000"/>
              </w:rPr>
              <w:t>A</w:t>
            </w:r>
            <w:r w:rsidRPr="00786051">
              <w:t>greed upon/</w:t>
            </w:r>
          </w:p>
          <w:p w14:paraId="2D76AA67" w14:textId="77777777" w:rsidR="00786051" w:rsidRPr="00983281" w:rsidRDefault="00786051" w:rsidP="002E7AE2">
            <w:pPr>
              <w:pStyle w:val="DPCtablecolhead"/>
            </w:pPr>
            <w:r w:rsidRPr="00786051">
              <w:rPr>
                <w:color w:val="FF0000"/>
              </w:rPr>
              <w:t>A</w:t>
            </w:r>
            <w:r w:rsidRPr="00786051">
              <w:t>ttainable</w:t>
            </w:r>
          </w:p>
        </w:tc>
        <w:tc>
          <w:tcPr>
            <w:tcW w:w="1859" w:type="pct"/>
          </w:tcPr>
          <w:p w14:paraId="3C73FA2D" w14:textId="77777777" w:rsidR="00786051" w:rsidRPr="00983281" w:rsidRDefault="00786051" w:rsidP="006C4752">
            <w:pPr>
              <w:pStyle w:val="DPCtabletext"/>
              <w:spacing w:after="120"/>
            </w:pPr>
            <w:r w:rsidRPr="00983281">
              <w:t xml:space="preserve">The requirements of a condition or contingency plan must be achievable or attainable. The methods for achieving the outcomes of a condition or contingency plan must also be agreed upon by the relevant parties. This aspect of writing a condition or contingency plan may be driven by the actions that </w:t>
            </w:r>
            <w:r>
              <w:t>need to</w:t>
            </w:r>
            <w:r w:rsidRPr="00983281">
              <w:t xml:space="preserve"> be undertaken to </w:t>
            </w:r>
            <w:r>
              <w:t>reach</w:t>
            </w:r>
            <w:r w:rsidRPr="00983281">
              <w:t xml:space="preserve"> the desired outcome.</w:t>
            </w:r>
          </w:p>
        </w:tc>
        <w:tc>
          <w:tcPr>
            <w:tcW w:w="2160" w:type="pct"/>
          </w:tcPr>
          <w:p w14:paraId="48515222" w14:textId="77777777" w:rsidR="00786051" w:rsidRDefault="00786051" w:rsidP="002E7AE2">
            <w:pPr>
              <w:pStyle w:val="DPCtabletext"/>
            </w:pPr>
            <w:r w:rsidRPr="00983281">
              <w:t xml:space="preserve">In the same way conditions and contingency plans must be specific, it is important that they do not become overly prescriptive. </w:t>
            </w:r>
          </w:p>
          <w:p w14:paraId="72C8CE9F" w14:textId="77777777" w:rsidR="00786051" w:rsidRPr="00B6140D" w:rsidRDefault="00786051" w:rsidP="002E7AE2">
            <w:pPr>
              <w:pStyle w:val="DPCtabletext"/>
              <w:rPr>
                <w:i/>
              </w:rPr>
            </w:pPr>
            <w:r w:rsidRPr="00983281">
              <w:rPr>
                <w:i/>
              </w:rPr>
              <w:t>For example: specifying a brand of material type limits the conditions to that single brand. Inclusion of generic terms such as: ‘or similar’ will achieve the intention</w:t>
            </w:r>
            <w:r>
              <w:rPr>
                <w:i/>
              </w:rPr>
              <w:t xml:space="preserve"> of the condition</w:t>
            </w:r>
            <w:r w:rsidRPr="00983281">
              <w:rPr>
                <w:i/>
              </w:rPr>
              <w:t xml:space="preserve">. </w:t>
            </w:r>
          </w:p>
        </w:tc>
      </w:tr>
      <w:tr w:rsidR="00786051" w:rsidRPr="00983281" w14:paraId="3DE9F1F5" w14:textId="77777777" w:rsidTr="00BB1969">
        <w:trPr>
          <w:cantSplit/>
          <w:tblHeader/>
        </w:trPr>
        <w:tc>
          <w:tcPr>
            <w:tcW w:w="981" w:type="pct"/>
          </w:tcPr>
          <w:p w14:paraId="7D993D72" w14:textId="77777777" w:rsidR="00786051" w:rsidRPr="00786051" w:rsidRDefault="00786051" w:rsidP="002E7AE2">
            <w:pPr>
              <w:pStyle w:val="DPCtablecolhead"/>
            </w:pPr>
            <w:r w:rsidRPr="00983281">
              <w:rPr>
                <w:color w:val="FF0000"/>
              </w:rPr>
              <w:lastRenderedPageBreak/>
              <w:t>R</w:t>
            </w:r>
            <w:r w:rsidRPr="00786051">
              <w:t>easonable/</w:t>
            </w:r>
          </w:p>
          <w:p w14:paraId="7AD7426F" w14:textId="77777777" w:rsidR="00786051" w:rsidRPr="00983281" w:rsidRDefault="00786051" w:rsidP="002E7AE2">
            <w:pPr>
              <w:pStyle w:val="DPCtablecolhead"/>
            </w:pPr>
            <w:r w:rsidRPr="00786051">
              <w:rPr>
                <w:color w:val="FF0000"/>
              </w:rPr>
              <w:t>R</w:t>
            </w:r>
            <w:r w:rsidRPr="00786051">
              <w:t>elevant</w:t>
            </w:r>
          </w:p>
        </w:tc>
        <w:tc>
          <w:tcPr>
            <w:tcW w:w="1859" w:type="pct"/>
          </w:tcPr>
          <w:p w14:paraId="2F1C9EA0" w14:textId="77777777" w:rsidR="00786051" w:rsidRPr="00983281" w:rsidRDefault="00786051" w:rsidP="002E7AE2">
            <w:pPr>
              <w:pStyle w:val="DPCtabletext"/>
            </w:pPr>
            <w:r w:rsidRPr="00983281">
              <w:t xml:space="preserve">In the same way that a condition or contingency plan must be achievable, they must also be reasonable. Conditions and contingency plans must be </w:t>
            </w:r>
            <w:r>
              <w:t>formulated</w:t>
            </w:r>
            <w:r w:rsidRPr="00983281">
              <w:t xml:space="preserve"> to be objectively practical and consistently written. </w:t>
            </w:r>
          </w:p>
        </w:tc>
        <w:tc>
          <w:tcPr>
            <w:tcW w:w="2160" w:type="pct"/>
          </w:tcPr>
          <w:p w14:paraId="77FE352A" w14:textId="77777777" w:rsidR="00786051" w:rsidRPr="00983281" w:rsidRDefault="00786051" w:rsidP="002E7AE2">
            <w:pPr>
              <w:pStyle w:val="DPCtabletext"/>
            </w:pPr>
            <w:r w:rsidRPr="00983281">
              <w:t xml:space="preserve">Do not rely on other documents, outside of the primary document, </w:t>
            </w:r>
            <w:r>
              <w:t>without qualifying.</w:t>
            </w:r>
            <w:r w:rsidRPr="00983281">
              <w:t xml:space="preserve"> Refer instead to the </w:t>
            </w:r>
            <w:r>
              <w:t xml:space="preserve">specific </w:t>
            </w:r>
            <w:r w:rsidRPr="00983281">
              <w:t>section or incorporate the relevant part in</w:t>
            </w:r>
            <w:r>
              <w:t>to</w:t>
            </w:r>
            <w:r w:rsidRPr="00983281">
              <w:t xml:space="preserve"> the </w:t>
            </w:r>
            <w:r>
              <w:t xml:space="preserve">primary document itself. You could also </w:t>
            </w:r>
            <w:r w:rsidRPr="00983281">
              <w:t>include</w:t>
            </w:r>
            <w:r>
              <w:t xml:space="preserve"> the full other document</w:t>
            </w:r>
            <w:r w:rsidRPr="00983281">
              <w:t xml:space="preserve"> for guidance in the appendices.</w:t>
            </w:r>
          </w:p>
          <w:p w14:paraId="6E4A92AD" w14:textId="77777777" w:rsidR="00786051" w:rsidRPr="00983281" w:rsidRDefault="00786051" w:rsidP="006C4752">
            <w:pPr>
              <w:pStyle w:val="DPCtabletext"/>
              <w:spacing w:after="120"/>
            </w:pPr>
            <w:r>
              <w:t>By</w:t>
            </w:r>
            <w:r w:rsidRPr="00983281">
              <w:t xml:space="preserve"> making cross-referencing between documents clear and precise, there is less room for confusion or ambiguity to occur. This keeps the conditions and contingency plans relevant and </w:t>
            </w:r>
            <w:r w:rsidR="00CD6614">
              <w:t>avoids</w:t>
            </w:r>
            <w:r w:rsidRPr="00983281">
              <w:t xml:space="preserve"> unreasonable expectations of </w:t>
            </w:r>
            <w:r>
              <w:t xml:space="preserve">existing </w:t>
            </w:r>
            <w:r w:rsidRPr="00983281">
              <w:t>specialist knowledge.</w:t>
            </w:r>
          </w:p>
        </w:tc>
      </w:tr>
      <w:tr w:rsidR="00786051" w:rsidRPr="00983281" w14:paraId="71E37B04" w14:textId="77777777" w:rsidTr="00BB1969">
        <w:trPr>
          <w:cantSplit/>
          <w:tblHeader/>
        </w:trPr>
        <w:tc>
          <w:tcPr>
            <w:tcW w:w="981" w:type="pct"/>
          </w:tcPr>
          <w:p w14:paraId="52F40843" w14:textId="77777777" w:rsidR="000F7790" w:rsidRDefault="00786051" w:rsidP="002E7AE2">
            <w:pPr>
              <w:pStyle w:val="DPCtablecolhead"/>
            </w:pPr>
            <w:r w:rsidRPr="00983281">
              <w:rPr>
                <w:color w:val="FF0000"/>
              </w:rPr>
              <w:t>T</w:t>
            </w:r>
            <w:r w:rsidRPr="00786051">
              <w:t>iming/</w:t>
            </w:r>
          </w:p>
          <w:p w14:paraId="76EDDE62" w14:textId="77777777" w:rsidR="00786051" w:rsidRPr="00983281" w:rsidRDefault="00786051" w:rsidP="002E7AE2">
            <w:pPr>
              <w:pStyle w:val="DPCtablecolhead"/>
            </w:pPr>
            <w:r w:rsidRPr="00786051">
              <w:rPr>
                <w:color w:val="FF0000"/>
              </w:rPr>
              <w:t>T</w:t>
            </w:r>
            <w:r w:rsidRPr="00786051">
              <w:t>ime-bound</w:t>
            </w:r>
          </w:p>
        </w:tc>
        <w:tc>
          <w:tcPr>
            <w:tcW w:w="1859" w:type="pct"/>
          </w:tcPr>
          <w:p w14:paraId="1E7952F5" w14:textId="77777777" w:rsidR="00786051" w:rsidRPr="00983281" w:rsidRDefault="00786051" w:rsidP="002E7AE2">
            <w:pPr>
              <w:pStyle w:val="DPCtabletext"/>
            </w:pPr>
            <w:r w:rsidRPr="00983281">
              <w:t xml:space="preserve">Conditions and contingency plans will most often require a deadline. </w:t>
            </w:r>
          </w:p>
          <w:p w14:paraId="2F705680" w14:textId="77777777" w:rsidR="00786051" w:rsidRPr="00983281" w:rsidRDefault="00786051" w:rsidP="002E7AE2">
            <w:pPr>
              <w:pStyle w:val="DPCtabletext"/>
            </w:pPr>
            <w:r w:rsidRPr="00983281">
              <w:t>Conditions</w:t>
            </w:r>
            <w:r>
              <w:t xml:space="preserve"> may</w:t>
            </w:r>
            <w:r w:rsidRPr="00983281">
              <w:t xml:space="preserve"> also be required to be completed at particular stages of a project; prior to the commencement of the activity,</w:t>
            </w:r>
            <w:r>
              <w:t xml:space="preserve"> or</w:t>
            </w:r>
            <w:r w:rsidRPr="00983281">
              <w:t xml:space="preserve"> after the demolition of </w:t>
            </w:r>
            <w:r>
              <w:t xml:space="preserve">specified </w:t>
            </w:r>
            <w:r w:rsidRPr="00983281">
              <w:t>structures, for example.</w:t>
            </w:r>
          </w:p>
          <w:p w14:paraId="03B329A5" w14:textId="77777777" w:rsidR="00786051" w:rsidRPr="00983281" w:rsidRDefault="00786051" w:rsidP="002E7AE2">
            <w:pPr>
              <w:pStyle w:val="DPCtabletext"/>
              <w:rPr>
                <w:b/>
              </w:rPr>
            </w:pPr>
            <w:r w:rsidRPr="00983281">
              <w:t xml:space="preserve">It is important to specify timeframes that are anchored to an </w:t>
            </w:r>
            <w:r w:rsidRPr="00983281">
              <w:rPr>
                <w:u w:val="single"/>
              </w:rPr>
              <w:t>identifiable</w:t>
            </w:r>
            <w:r w:rsidRPr="00983281">
              <w:rPr>
                <w:b/>
                <w:u w:val="single"/>
              </w:rPr>
              <w:t xml:space="preserve"> </w:t>
            </w:r>
            <w:r w:rsidRPr="00983281">
              <w:t xml:space="preserve">date or time. </w:t>
            </w:r>
          </w:p>
          <w:p w14:paraId="0B515AD0" w14:textId="77777777" w:rsidR="00786051" w:rsidRPr="00983281" w:rsidRDefault="00786051" w:rsidP="002E7AE2">
            <w:pPr>
              <w:pStyle w:val="DPCtabletext"/>
            </w:pPr>
          </w:p>
        </w:tc>
        <w:tc>
          <w:tcPr>
            <w:tcW w:w="2160" w:type="pct"/>
          </w:tcPr>
          <w:p w14:paraId="4B15960F" w14:textId="77777777" w:rsidR="00786051" w:rsidRDefault="00786051" w:rsidP="002E7AE2">
            <w:pPr>
              <w:pStyle w:val="DPCtabletext"/>
            </w:pPr>
            <w:r w:rsidRPr="00077E73">
              <w:t xml:space="preserve">Avoid expression of timeframe in ‘hours’ or ‘days’ – rather, use ‘working days’. </w:t>
            </w:r>
          </w:p>
          <w:p w14:paraId="162A95A5" w14:textId="77777777" w:rsidR="00786051" w:rsidRPr="00077E73" w:rsidRDefault="00786051" w:rsidP="002E7AE2">
            <w:pPr>
              <w:pStyle w:val="DPCtabletext"/>
            </w:pPr>
            <w:r>
              <w:t>Ask yourself, d</w:t>
            </w:r>
            <w:r w:rsidRPr="00077E73">
              <w:t xml:space="preserve">oes the condition need to be completed or undertaken prior to/during/after the activity? </w:t>
            </w:r>
          </w:p>
          <w:p w14:paraId="7ABB8666" w14:textId="77777777" w:rsidR="00786051" w:rsidRPr="00077E73" w:rsidRDefault="00786051" w:rsidP="002E7AE2">
            <w:pPr>
              <w:pStyle w:val="DPCtabletext"/>
            </w:pPr>
            <w:r w:rsidRPr="00077E73">
              <w:t>Include condition timeframes in terms that will avoid non-compliance. Examples are:</w:t>
            </w:r>
          </w:p>
          <w:p w14:paraId="071FDE62" w14:textId="77777777" w:rsidR="00786051" w:rsidRPr="00ED17DE" w:rsidRDefault="00786051" w:rsidP="002E7AE2">
            <w:pPr>
              <w:pStyle w:val="DPCtabletext"/>
              <w:rPr>
                <w:b/>
                <w:i/>
              </w:rPr>
            </w:pPr>
            <w:r w:rsidRPr="00ED17DE">
              <w:rPr>
                <w:i/>
              </w:rPr>
              <w:t>‘Reburial of recovered Aboriginal cultural heritage material must occur within six months from the date the statement of compliance was signed’;</w:t>
            </w:r>
          </w:p>
          <w:p w14:paraId="6CA31BA8" w14:textId="77777777" w:rsidR="00786051" w:rsidRPr="00096ACA" w:rsidRDefault="00786051" w:rsidP="002E7AE2">
            <w:pPr>
              <w:pStyle w:val="DPCtabletext"/>
              <w:rPr>
                <w:b/>
                <w:i/>
              </w:rPr>
            </w:pPr>
            <w:r w:rsidRPr="00ED17DE">
              <w:rPr>
                <w:i/>
              </w:rPr>
              <w:t xml:space="preserve">‘The Sponsor or their representative must report the discovery of suspected Aboriginal cultural heritage to </w:t>
            </w:r>
            <w:r>
              <w:rPr>
                <w:i/>
              </w:rPr>
              <w:t>a</w:t>
            </w:r>
            <w:r w:rsidRPr="00096ACA">
              <w:rPr>
                <w:i/>
              </w:rPr>
              <w:t xml:space="preserve"> heritage advisor and the Registered Aboriginal Party within two working days’.</w:t>
            </w:r>
          </w:p>
          <w:p w14:paraId="7DAD069C" w14:textId="5477CB5A" w:rsidR="00786051" w:rsidRPr="00983281" w:rsidRDefault="00786051" w:rsidP="006C4752">
            <w:pPr>
              <w:pStyle w:val="DPCtabletext"/>
              <w:spacing w:after="120"/>
            </w:pPr>
            <w:r w:rsidRPr="00077E73">
              <w:t xml:space="preserve">Include conditions that specify notification to be provided to the </w:t>
            </w:r>
            <w:r>
              <w:t>RAP</w:t>
            </w:r>
            <w:r w:rsidRPr="00077E73">
              <w:t xml:space="preserve"> and relevant parties for commencement and completion of the activity. Communicating the </w:t>
            </w:r>
            <w:r>
              <w:t>satisfactory undertaking of</w:t>
            </w:r>
            <w:r w:rsidRPr="00077E73">
              <w:t xml:space="preserve"> specific conditions or activities can be useful for signalling completion of milestones, </w:t>
            </w:r>
            <w:r>
              <w:t xml:space="preserve">demonstrating </w:t>
            </w:r>
            <w:r w:rsidRPr="00077E73">
              <w:t xml:space="preserve">compliance and </w:t>
            </w:r>
            <w:r>
              <w:t>providing</w:t>
            </w:r>
            <w:r w:rsidRPr="00077E73">
              <w:t xml:space="preserve"> closure for record keeping.</w:t>
            </w:r>
            <w:r w:rsidRPr="00983281">
              <w:t xml:space="preserve"> </w:t>
            </w:r>
          </w:p>
        </w:tc>
      </w:tr>
    </w:tbl>
    <w:p w14:paraId="3EF33B78" w14:textId="77777777" w:rsidR="00D67F2D" w:rsidRDefault="00D67F2D">
      <w:pPr>
        <w:rPr>
          <w:rFonts w:asciiTheme="minorHAnsi" w:eastAsia="Times" w:hAnsiTheme="minorHAnsi" w:cs="Arial"/>
          <w:color w:val="000000" w:themeColor="text1"/>
          <w:sz w:val="22"/>
          <w:szCs w:val="22"/>
        </w:rPr>
      </w:pPr>
      <w:r>
        <w:br w:type="page"/>
      </w:r>
    </w:p>
    <w:p w14:paraId="143D3D8B" w14:textId="77777777" w:rsidR="00885A10" w:rsidRDefault="00885A10" w:rsidP="004527B1">
      <w:pPr>
        <w:pStyle w:val="Heading1"/>
        <w:numPr>
          <w:ilvl w:val="0"/>
          <w:numId w:val="10"/>
        </w:numPr>
        <w:spacing w:after="480"/>
        <w:ind w:left="425" w:hanging="425"/>
      </w:pPr>
      <w:bookmarkStart w:id="10" w:name="_Toc10450668"/>
      <w:bookmarkStart w:id="11" w:name="_Toc17445304"/>
      <w:r>
        <w:lastRenderedPageBreak/>
        <w:t>Conditions and Contingency Plans</w:t>
      </w:r>
      <w:bookmarkEnd w:id="10"/>
      <w:bookmarkEnd w:id="11"/>
    </w:p>
    <w:p w14:paraId="0C6EB3E6" w14:textId="77777777" w:rsidR="00885A10" w:rsidRDefault="00885A10" w:rsidP="00885A10">
      <w:pPr>
        <w:pStyle w:val="DPCbody"/>
      </w:pPr>
      <w:r w:rsidRPr="00642504">
        <w:t>The purpose of the Act is to provide for the protection of Aboriginal cultural heritage in Victoria.</w:t>
      </w:r>
      <w:r>
        <w:t xml:space="preserve"> The Act allows for conditions to be written for the management and protection of Aboriginal cultural heritage in CHMPs, CHPs</w:t>
      </w:r>
      <w:r w:rsidRPr="00F26DD9">
        <w:t xml:space="preserve"> </w:t>
      </w:r>
      <w:r>
        <w:t>and ACHLMAs</w:t>
      </w:r>
      <w:r w:rsidRPr="00642504">
        <w:t>.</w:t>
      </w:r>
      <w:r>
        <w:t xml:space="preserve"> </w:t>
      </w:r>
      <w:r w:rsidRPr="009B1E34">
        <w:t>C</w:t>
      </w:r>
      <w:r>
        <w:t>onditions c</w:t>
      </w:r>
      <w:r w:rsidRPr="009B1E34">
        <w:t xml:space="preserve">onfer </w:t>
      </w:r>
      <w:r>
        <w:t xml:space="preserve">a </w:t>
      </w:r>
      <w:r w:rsidRPr="009B1E34">
        <w:t>legal obligation and responsibility to the Sponsor</w:t>
      </w:r>
      <w:r>
        <w:t>/Permit holder/parties to an ACHLMA</w:t>
      </w:r>
      <w:r w:rsidRPr="009B1E34">
        <w:t xml:space="preserve"> and are requirements enforceable under </w:t>
      </w:r>
      <w:r>
        <w:t>the Act</w:t>
      </w:r>
      <w:r w:rsidRPr="009B1E34">
        <w:t>.</w:t>
      </w:r>
      <w:r>
        <w:t xml:space="preserve"> </w:t>
      </w:r>
    </w:p>
    <w:p w14:paraId="0DF82D17" w14:textId="01DA5C7B" w:rsidR="00885A10" w:rsidRDefault="00885A10" w:rsidP="00885A10">
      <w:pPr>
        <w:pStyle w:val="DPCbody"/>
      </w:pPr>
      <w:r>
        <w:t xml:space="preserve">Contingency plans are developed in relation to disputes, delays and other obstacles that may affect the conduct of the activity. The contingency plans should tell the Sponsor/Permit holder/parties of an ACHLMA what to do in the event one of these situations </w:t>
      </w:r>
      <w:r w:rsidRPr="00C3052F">
        <w:t>arises</w:t>
      </w:r>
      <w:r>
        <w:t xml:space="preserve"> in relation to Aboriginal heritage during the conduct of the activity. Contingency plans need to be prepared to suit the activities and Aboriginal cultural heritage in question. The</w:t>
      </w:r>
      <w:r w:rsidR="00153D05">
        <w:t xml:space="preserve"> Aboriginal Heritage</w:t>
      </w:r>
      <w:r>
        <w:t xml:space="preserve"> Regulations</w:t>
      </w:r>
      <w:r w:rsidR="00153D05">
        <w:t xml:space="preserve"> 2018</w:t>
      </w:r>
      <w:r>
        <w:t xml:space="preserve"> </w:t>
      </w:r>
      <w:r w:rsidR="004C409B">
        <w:t xml:space="preserve">(the Regulations) </w:t>
      </w:r>
      <w:r>
        <w:t>require CHMPs to include contingency plans that address the matters outlined in Section 61 of the Act.</w:t>
      </w:r>
    </w:p>
    <w:p w14:paraId="04E6771E" w14:textId="77777777" w:rsidR="00885A10" w:rsidRPr="006C4752" w:rsidRDefault="00885A10" w:rsidP="009A6BA0">
      <w:pPr>
        <w:pStyle w:val="Heading2"/>
        <w:numPr>
          <w:ilvl w:val="1"/>
          <w:numId w:val="10"/>
        </w:numPr>
        <w:ind w:left="284" w:hanging="284"/>
        <w:rPr>
          <w:rFonts w:eastAsia="Calibri"/>
          <w:sz w:val="32"/>
          <w:szCs w:val="32"/>
        </w:rPr>
      </w:pPr>
      <w:bookmarkStart w:id="12" w:name="_Toc10450669"/>
      <w:bookmarkStart w:id="13" w:name="_Toc17445305"/>
      <w:r w:rsidRPr="006C4752">
        <w:rPr>
          <w:rFonts w:eastAsia="Calibri"/>
          <w:sz w:val="32"/>
          <w:szCs w:val="32"/>
        </w:rPr>
        <w:t>Preparing and Organising Conditions and Contingency Plans</w:t>
      </w:r>
      <w:bookmarkEnd w:id="12"/>
      <w:bookmarkEnd w:id="13"/>
    </w:p>
    <w:p w14:paraId="18747060" w14:textId="77777777" w:rsidR="00885A10" w:rsidRPr="006C4752" w:rsidRDefault="00885A10" w:rsidP="005B2A9B">
      <w:pPr>
        <w:pStyle w:val="Heading3"/>
        <w:numPr>
          <w:ilvl w:val="2"/>
          <w:numId w:val="10"/>
        </w:numPr>
        <w:ind w:left="993" w:hanging="993"/>
        <w:rPr>
          <w:sz w:val="28"/>
          <w:szCs w:val="28"/>
        </w:rPr>
      </w:pPr>
      <w:r w:rsidRPr="006C4752">
        <w:rPr>
          <w:sz w:val="28"/>
          <w:szCs w:val="28"/>
        </w:rPr>
        <w:t>To be specific and to avoid ambiguity</w:t>
      </w:r>
    </w:p>
    <w:p w14:paraId="4607C860" w14:textId="77777777" w:rsidR="00885A10" w:rsidRDefault="00885A10" w:rsidP="00D84F67">
      <w:pPr>
        <w:pStyle w:val="DPCbullet1"/>
        <w:numPr>
          <w:ilvl w:val="0"/>
          <w:numId w:val="16"/>
        </w:numPr>
        <w:ind w:hanging="568"/>
      </w:pPr>
      <w:r w:rsidRPr="00D84F67">
        <w:t xml:space="preserve">Conditions </w:t>
      </w:r>
      <w:r>
        <w:t>and contingency plans</w:t>
      </w:r>
      <w:r w:rsidRPr="009B7939">
        <w:t xml:space="preserve"> should be drafted </w:t>
      </w:r>
      <w:r>
        <w:t>using</w:t>
      </w:r>
      <w:r w:rsidRPr="009B7939">
        <w:t xml:space="preserve"> the </w:t>
      </w:r>
      <w:r w:rsidRPr="00D84F67">
        <w:t>SMART</w:t>
      </w:r>
      <w:r>
        <w:t xml:space="preserve"> principle </w:t>
      </w:r>
      <w:r w:rsidR="007574A4">
        <w:t>(</w:t>
      </w:r>
      <w:r>
        <w:t>Table 1</w:t>
      </w:r>
      <w:r w:rsidR="007574A4">
        <w:t>)</w:t>
      </w:r>
      <w:r>
        <w:t xml:space="preserve">. </w:t>
      </w:r>
    </w:p>
    <w:p w14:paraId="339ED8E0" w14:textId="77777777" w:rsidR="00885A10" w:rsidRDefault="00885A10" w:rsidP="00D84F67">
      <w:pPr>
        <w:pStyle w:val="DPCbullet1"/>
        <w:numPr>
          <w:ilvl w:val="0"/>
          <w:numId w:val="16"/>
        </w:numPr>
        <w:ind w:hanging="568"/>
      </w:pPr>
      <w:r w:rsidRPr="009B7939">
        <w:t>When drafting</w:t>
      </w:r>
      <w:r>
        <w:t xml:space="preserve"> conditions and contingency plans</w:t>
      </w:r>
      <w:r w:rsidRPr="009B7939">
        <w:t xml:space="preserve"> it is important to consider the intended outcome and </w:t>
      </w:r>
      <w:r>
        <w:t>ensure</w:t>
      </w:r>
      <w:r w:rsidRPr="009B7939">
        <w:t xml:space="preserve"> the language used </w:t>
      </w:r>
      <w:r>
        <w:t>provides clear direction</w:t>
      </w:r>
      <w:r w:rsidRPr="009B7939">
        <w:t>.</w:t>
      </w:r>
      <w:r>
        <w:t xml:space="preserve"> </w:t>
      </w:r>
      <w:r w:rsidRPr="00D84F67">
        <w:t>See Appendix 1: Avoiding Ambiguity</w:t>
      </w:r>
      <w:r>
        <w:t xml:space="preserve"> for further guidance in ensuring conditions are unambiguous.</w:t>
      </w:r>
    </w:p>
    <w:p w14:paraId="6FF2E695" w14:textId="77777777" w:rsidR="00885A10" w:rsidRPr="006C4752" w:rsidRDefault="00885A10" w:rsidP="005B2A9B">
      <w:pPr>
        <w:pStyle w:val="Heading3"/>
        <w:numPr>
          <w:ilvl w:val="2"/>
          <w:numId w:val="10"/>
        </w:numPr>
        <w:ind w:left="993" w:hanging="993"/>
        <w:rPr>
          <w:sz w:val="28"/>
          <w:szCs w:val="28"/>
        </w:rPr>
      </w:pPr>
      <w:r w:rsidRPr="006C4752">
        <w:rPr>
          <w:sz w:val="28"/>
          <w:szCs w:val="28"/>
        </w:rPr>
        <w:t>Ordering conditions and contingency plans</w:t>
      </w:r>
    </w:p>
    <w:p w14:paraId="5484E0D5" w14:textId="77777777" w:rsidR="00885A10" w:rsidRDefault="00885A10" w:rsidP="007574A4">
      <w:pPr>
        <w:pStyle w:val="DPCbullet1"/>
        <w:numPr>
          <w:ilvl w:val="0"/>
          <w:numId w:val="18"/>
        </w:numPr>
        <w:ind w:left="993" w:hanging="709"/>
      </w:pPr>
      <w:r w:rsidRPr="002B6532">
        <w:t xml:space="preserve">The order in which conditions </w:t>
      </w:r>
      <w:r>
        <w:t>are to</w:t>
      </w:r>
      <w:r w:rsidRPr="002B6532">
        <w:t xml:space="preserve"> be undertaken must be clear</w:t>
      </w:r>
      <w:r w:rsidR="00E767EF">
        <w:t xml:space="preserve"> and logical</w:t>
      </w:r>
      <w:r w:rsidRPr="002B6532">
        <w:t xml:space="preserve">. </w:t>
      </w:r>
    </w:p>
    <w:p w14:paraId="08B22B37" w14:textId="77777777" w:rsidR="00885A10" w:rsidRDefault="00885A10" w:rsidP="007574A4">
      <w:pPr>
        <w:pStyle w:val="DPCbullet1"/>
        <w:numPr>
          <w:ilvl w:val="0"/>
          <w:numId w:val="18"/>
        </w:numPr>
        <w:ind w:left="993" w:hanging="709"/>
      </w:pPr>
      <w:r>
        <w:t>C</w:t>
      </w:r>
      <w:r w:rsidRPr="002B6532">
        <w:t>onditions</w:t>
      </w:r>
      <w:r>
        <w:t xml:space="preserve"> and contingency plans</w:t>
      </w:r>
      <w:r w:rsidRPr="002B6532">
        <w:t xml:space="preserve"> written in chronological order</w:t>
      </w:r>
      <w:r>
        <w:t xml:space="preserve"> are easier to follow.</w:t>
      </w:r>
    </w:p>
    <w:p w14:paraId="36309CAC" w14:textId="77777777" w:rsidR="00885A10" w:rsidRPr="009B7939" w:rsidRDefault="00885A10" w:rsidP="007574A4">
      <w:pPr>
        <w:pStyle w:val="DPCbullet1"/>
        <w:numPr>
          <w:ilvl w:val="0"/>
          <w:numId w:val="18"/>
        </w:numPr>
        <w:ind w:left="993" w:hanging="709"/>
      </w:pPr>
      <w:r w:rsidRPr="002B6532">
        <w:t xml:space="preserve">It is advisable to include a statement that </w:t>
      </w:r>
      <w:r>
        <w:t>specifies</w:t>
      </w:r>
      <w:r w:rsidRPr="002B6532">
        <w:t xml:space="preserve"> the order in which conditions must be </w:t>
      </w:r>
      <w:r>
        <w:t>completed</w:t>
      </w:r>
      <w:r w:rsidRPr="002B6532">
        <w:t>.</w:t>
      </w:r>
      <w:r>
        <w:t xml:space="preserve"> </w:t>
      </w:r>
    </w:p>
    <w:p w14:paraId="01F7351A" w14:textId="77777777" w:rsidR="00885A10" w:rsidRDefault="00885A10" w:rsidP="00885A10">
      <w:pPr>
        <w:pStyle w:val="DPCbody"/>
      </w:pPr>
      <w:r>
        <w:t xml:space="preserve">Common </w:t>
      </w:r>
      <w:r w:rsidR="00E767EF">
        <w:t>topics</w:t>
      </w:r>
      <w:r>
        <w:t xml:space="preserve"> of conditions and key considerations are discussed in </w:t>
      </w:r>
      <w:r w:rsidRPr="007574A4">
        <w:t>Table 2</w:t>
      </w:r>
      <w:r>
        <w:t>.</w:t>
      </w:r>
    </w:p>
    <w:p w14:paraId="03BCC5EB" w14:textId="77777777" w:rsidR="00FC6FFF" w:rsidRPr="006C4752" w:rsidRDefault="00FC6FFF" w:rsidP="00FC6FFF">
      <w:pPr>
        <w:pStyle w:val="Heading3"/>
        <w:numPr>
          <w:ilvl w:val="2"/>
          <w:numId w:val="10"/>
        </w:numPr>
        <w:ind w:left="993" w:hanging="993"/>
        <w:rPr>
          <w:sz w:val="28"/>
          <w:szCs w:val="28"/>
        </w:rPr>
      </w:pPr>
      <w:r w:rsidRPr="006C4752">
        <w:rPr>
          <w:sz w:val="28"/>
          <w:szCs w:val="28"/>
        </w:rPr>
        <w:t>Consistency</w:t>
      </w:r>
    </w:p>
    <w:p w14:paraId="7C0186EF" w14:textId="77777777" w:rsidR="00FC6FFF" w:rsidRDefault="00FC6FFF" w:rsidP="00FC6FFF">
      <w:pPr>
        <w:pStyle w:val="DPCbody"/>
      </w:pPr>
      <w:r>
        <w:t xml:space="preserve">Ensure language is consistent with the Act and </w:t>
      </w:r>
      <w:r w:rsidR="00683274">
        <w:t>the</w:t>
      </w:r>
      <w:r>
        <w:t xml:space="preserve"> Regulations</w:t>
      </w:r>
      <w:r w:rsidR="007C4C92">
        <w:t>, for example:</w:t>
      </w:r>
    </w:p>
    <w:p w14:paraId="61A2895B" w14:textId="77777777" w:rsidR="00FC6FFF" w:rsidRDefault="00FC6FFF" w:rsidP="00FC6FFF">
      <w:pPr>
        <w:pStyle w:val="DPCbullet1"/>
        <w:numPr>
          <w:ilvl w:val="0"/>
          <w:numId w:val="21"/>
        </w:numPr>
        <w:ind w:left="993" w:hanging="709"/>
      </w:pPr>
      <w:r>
        <w:t>Activity area: avoid use of “</w:t>
      </w:r>
      <w:r w:rsidRPr="00FC6FFF">
        <w:t>study area</w:t>
      </w:r>
      <w:r>
        <w:t>”. Consider clearly defining the meaning of activity area.</w:t>
      </w:r>
    </w:p>
    <w:p w14:paraId="337C536F" w14:textId="77777777" w:rsidR="00885A10" w:rsidRDefault="00FC6FFF" w:rsidP="00FC6FFF">
      <w:pPr>
        <w:pStyle w:val="DPCbullet1"/>
        <w:numPr>
          <w:ilvl w:val="0"/>
          <w:numId w:val="21"/>
        </w:numPr>
        <w:ind w:left="993" w:hanging="709"/>
      </w:pPr>
      <w:r>
        <w:t>Aboriginal place, Aboriginal cultural heritage place: avoid use of “</w:t>
      </w:r>
      <w:r w:rsidRPr="00FC6FFF">
        <w:t>archaeological site(s</w:t>
      </w:r>
      <w:r>
        <w:t>)”, “</w:t>
      </w:r>
      <w:r w:rsidRPr="00FC6FFF">
        <w:t>site(s</w:t>
      </w:r>
      <w:r>
        <w:t>)”, as the Act and regulations protect Aboriginal places that may not necessarily have physical evidence.</w:t>
      </w:r>
      <w:r w:rsidR="00885A10">
        <w:br w:type="page"/>
      </w:r>
    </w:p>
    <w:p w14:paraId="439987F7" w14:textId="77777777" w:rsidR="00BB1969" w:rsidRPr="00BB1969" w:rsidRDefault="00BB1969" w:rsidP="00BB1969">
      <w:pPr>
        <w:pStyle w:val="DPCtablecaption"/>
      </w:pPr>
      <w:bookmarkStart w:id="14" w:name="_Toc15644185"/>
      <w:r>
        <w:lastRenderedPageBreak/>
        <w:t>Table 2: Common types of Conditions</w:t>
      </w:r>
      <w:bookmarkEnd w:id="14"/>
    </w:p>
    <w:tbl>
      <w:tblPr>
        <w:tblStyle w:val="TableGrid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18"/>
        <w:gridCol w:w="3260"/>
        <w:gridCol w:w="4314"/>
      </w:tblGrid>
      <w:tr w:rsidR="00885A10" w:rsidRPr="002705C7" w14:paraId="259CC6C9" w14:textId="77777777" w:rsidTr="00BB1969">
        <w:trPr>
          <w:cantSplit/>
          <w:tblHeader/>
        </w:trPr>
        <w:tc>
          <w:tcPr>
            <w:tcW w:w="1818" w:type="dxa"/>
          </w:tcPr>
          <w:p w14:paraId="7401E2DF" w14:textId="77777777" w:rsidR="00885A10" w:rsidRPr="002E7AE2" w:rsidRDefault="00885A10" w:rsidP="002E7AE2">
            <w:pPr>
              <w:pStyle w:val="DPCtablecolhead"/>
              <w:rPr>
                <w:b w:val="0"/>
                <w:bCs/>
                <w:i/>
                <w:iCs/>
              </w:rPr>
            </w:pPr>
            <w:r w:rsidRPr="002E7AE2">
              <w:t>Type of Condition</w:t>
            </w:r>
          </w:p>
        </w:tc>
        <w:tc>
          <w:tcPr>
            <w:tcW w:w="3260" w:type="dxa"/>
          </w:tcPr>
          <w:p w14:paraId="0769848B" w14:textId="77777777" w:rsidR="00885A10" w:rsidRPr="002E7AE2" w:rsidRDefault="00885A10" w:rsidP="002E7AE2">
            <w:pPr>
              <w:pStyle w:val="DPCtablecolhead"/>
            </w:pPr>
            <w:r w:rsidRPr="002E7AE2">
              <w:t>Details</w:t>
            </w:r>
          </w:p>
        </w:tc>
        <w:tc>
          <w:tcPr>
            <w:tcW w:w="4314" w:type="dxa"/>
          </w:tcPr>
          <w:p w14:paraId="760E81F7" w14:textId="77777777" w:rsidR="00885A10" w:rsidRPr="002E7AE2" w:rsidRDefault="00885A10" w:rsidP="002E7AE2">
            <w:pPr>
              <w:pStyle w:val="DPCtablecolhead"/>
              <w:rPr>
                <w:b w:val="0"/>
                <w:bCs/>
                <w:i/>
                <w:iCs/>
              </w:rPr>
            </w:pPr>
            <w:r w:rsidRPr="002E7AE2">
              <w:t>Considerations</w:t>
            </w:r>
          </w:p>
        </w:tc>
      </w:tr>
      <w:tr w:rsidR="00885A10" w:rsidRPr="00871B34" w14:paraId="6494BF91" w14:textId="77777777" w:rsidTr="00BB1969">
        <w:trPr>
          <w:cantSplit/>
          <w:tblHeader/>
        </w:trPr>
        <w:tc>
          <w:tcPr>
            <w:tcW w:w="1818" w:type="dxa"/>
          </w:tcPr>
          <w:p w14:paraId="0A82CFC9" w14:textId="77777777" w:rsidR="00885A10" w:rsidRPr="00233A02" w:rsidRDefault="00885A10" w:rsidP="002E7AE2">
            <w:pPr>
              <w:pStyle w:val="DPCtablecolhead"/>
            </w:pPr>
            <w:r>
              <w:t>Documentation</w:t>
            </w:r>
          </w:p>
        </w:tc>
        <w:tc>
          <w:tcPr>
            <w:tcW w:w="3260" w:type="dxa"/>
          </w:tcPr>
          <w:p w14:paraId="5769FF6D" w14:textId="77777777" w:rsidR="00885A10" w:rsidRPr="00871B34" w:rsidRDefault="00885A10" w:rsidP="00871B34">
            <w:pPr>
              <w:pStyle w:val="DPCtabletext"/>
              <w:rPr>
                <w:sz w:val="20"/>
                <w:szCs w:val="20"/>
              </w:rPr>
            </w:pPr>
            <w:r w:rsidRPr="00871B34">
              <w:rPr>
                <w:sz w:val="20"/>
                <w:szCs w:val="20"/>
              </w:rPr>
              <w:t xml:space="preserve">A condition requiring a copy of the approved CHMP </w:t>
            </w:r>
            <w:r w:rsidR="00C53D29">
              <w:rPr>
                <w:sz w:val="20"/>
                <w:szCs w:val="20"/>
              </w:rPr>
              <w:t>or</w:t>
            </w:r>
            <w:r w:rsidRPr="00871B34">
              <w:rPr>
                <w:sz w:val="20"/>
                <w:szCs w:val="20"/>
              </w:rPr>
              <w:t xml:space="preserve"> CHP be kept on site, or in a location that is easy to access the document to allow quick reference to be made. </w:t>
            </w:r>
          </w:p>
        </w:tc>
        <w:tc>
          <w:tcPr>
            <w:tcW w:w="4314" w:type="dxa"/>
          </w:tcPr>
          <w:p w14:paraId="1878D549" w14:textId="77777777" w:rsidR="00885A10" w:rsidRPr="00871B34" w:rsidRDefault="00885A10" w:rsidP="00871B34">
            <w:pPr>
              <w:pStyle w:val="DPCtabletext"/>
              <w:rPr>
                <w:sz w:val="20"/>
                <w:szCs w:val="20"/>
              </w:rPr>
            </w:pPr>
            <w:r w:rsidRPr="00871B34">
              <w:rPr>
                <w:sz w:val="20"/>
                <w:szCs w:val="20"/>
              </w:rPr>
              <w:t>Think about the practicalities of implementing this condition.</w:t>
            </w:r>
          </w:p>
          <w:p w14:paraId="50122EA8" w14:textId="6537FC00" w:rsidR="00885A10" w:rsidRPr="00871B34" w:rsidRDefault="00885A10" w:rsidP="00401322">
            <w:pPr>
              <w:pStyle w:val="DPCtabletext"/>
              <w:spacing w:after="120"/>
              <w:rPr>
                <w:sz w:val="20"/>
                <w:szCs w:val="20"/>
              </w:rPr>
            </w:pPr>
            <w:r w:rsidRPr="00871B34">
              <w:rPr>
                <w:sz w:val="20"/>
                <w:szCs w:val="20"/>
              </w:rPr>
              <w:t>Requiring the approved CHMP to be kept on site is broad enough to work for a variety of situations. If there is a site office, this may be referred to in the condition.</w:t>
            </w:r>
            <w:r w:rsidR="00AC147A">
              <w:rPr>
                <w:sz w:val="20"/>
                <w:szCs w:val="20"/>
              </w:rPr>
              <w:t xml:space="preserve"> An electronic or web accessible version may also be appropriate.</w:t>
            </w:r>
          </w:p>
        </w:tc>
      </w:tr>
      <w:tr w:rsidR="00885A10" w:rsidRPr="00871B34" w14:paraId="65A7B159" w14:textId="77777777" w:rsidTr="00BB1969">
        <w:trPr>
          <w:cantSplit/>
          <w:tblHeader/>
        </w:trPr>
        <w:tc>
          <w:tcPr>
            <w:tcW w:w="1818" w:type="dxa"/>
          </w:tcPr>
          <w:p w14:paraId="39860407" w14:textId="77777777" w:rsidR="00885A10" w:rsidRPr="009625DD" w:rsidRDefault="00885A10" w:rsidP="009625DD">
            <w:pPr>
              <w:pStyle w:val="DPCtablecolhead"/>
            </w:pPr>
            <w:r w:rsidRPr="00233A02">
              <w:t>Induction Conditions</w:t>
            </w:r>
          </w:p>
        </w:tc>
        <w:tc>
          <w:tcPr>
            <w:tcW w:w="3260" w:type="dxa"/>
          </w:tcPr>
          <w:p w14:paraId="65555F07" w14:textId="77777777" w:rsidR="00885A10" w:rsidRPr="00871B34" w:rsidRDefault="00885A10" w:rsidP="00871B34">
            <w:pPr>
              <w:pStyle w:val="DPCtabletext"/>
              <w:rPr>
                <w:sz w:val="20"/>
                <w:szCs w:val="20"/>
              </w:rPr>
            </w:pPr>
            <w:r w:rsidRPr="00871B34">
              <w:rPr>
                <w:sz w:val="20"/>
                <w:szCs w:val="20"/>
              </w:rPr>
              <w:t xml:space="preserve">Must be specific and relevant to the CHMP/CHP/ACHLMA and must communicate specific </w:t>
            </w:r>
            <w:r w:rsidR="00E767EF">
              <w:rPr>
                <w:sz w:val="20"/>
                <w:szCs w:val="20"/>
              </w:rPr>
              <w:t xml:space="preserve">information </w:t>
            </w:r>
            <w:r w:rsidRPr="00871B34">
              <w:rPr>
                <w:sz w:val="20"/>
                <w:szCs w:val="20"/>
              </w:rPr>
              <w:t>relevant to both the activity and the Aboriginal Cultural Heritage management information:</w:t>
            </w:r>
          </w:p>
          <w:p w14:paraId="172B6B42" w14:textId="77777777" w:rsidR="00885A10" w:rsidRPr="00871B34" w:rsidRDefault="00885A10" w:rsidP="00871B34">
            <w:pPr>
              <w:pStyle w:val="DPCtabletext"/>
              <w:rPr>
                <w:sz w:val="20"/>
                <w:szCs w:val="20"/>
              </w:rPr>
            </w:pPr>
            <w:r w:rsidRPr="00871B34">
              <w:rPr>
                <w:sz w:val="20"/>
                <w:szCs w:val="20"/>
              </w:rPr>
              <w:t>It is essential that an induction explains the conditions and contingency plans of the CHMP to the personnel; what is meant to be completed prior to the activity commencing; what to do if suspected Aboriginal Ancestral Remains, and</w:t>
            </w:r>
            <w:r w:rsidR="00C53D29">
              <w:rPr>
                <w:sz w:val="20"/>
                <w:szCs w:val="20"/>
              </w:rPr>
              <w:t>/</w:t>
            </w:r>
            <w:r w:rsidRPr="00871B34">
              <w:rPr>
                <w:sz w:val="20"/>
                <w:szCs w:val="20"/>
              </w:rPr>
              <w:t>or suspected Aboriginal cultural heritage are found.</w:t>
            </w:r>
          </w:p>
          <w:p w14:paraId="77BE830A" w14:textId="77777777" w:rsidR="00885A10" w:rsidRPr="00871B34" w:rsidRDefault="00885A10" w:rsidP="00871B34">
            <w:pPr>
              <w:pStyle w:val="DPCtabletext"/>
              <w:rPr>
                <w:sz w:val="20"/>
                <w:szCs w:val="20"/>
              </w:rPr>
            </w:pPr>
            <w:r w:rsidRPr="00871B34">
              <w:rPr>
                <w:sz w:val="20"/>
                <w:szCs w:val="20"/>
              </w:rPr>
              <w:t xml:space="preserve">Conditions for inductions must stipulate </w:t>
            </w:r>
            <w:r w:rsidRPr="00871B34">
              <w:rPr>
                <w:b/>
                <w:sz w:val="20"/>
                <w:szCs w:val="20"/>
              </w:rPr>
              <w:t>when</w:t>
            </w:r>
            <w:r w:rsidRPr="00871B34">
              <w:rPr>
                <w:sz w:val="20"/>
                <w:szCs w:val="20"/>
              </w:rPr>
              <w:t xml:space="preserve"> inductions will occur and </w:t>
            </w:r>
            <w:r w:rsidRPr="00871B34">
              <w:rPr>
                <w:b/>
                <w:sz w:val="20"/>
                <w:szCs w:val="20"/>
              </w:rPr>
              <w:t>who</w:t>
            </w:r>
            <w:r w:rsidRPr="00871B34">
              <w:rPr>
                <w:sz w:val="20"/>
                <w:szCs w:val="20"/>
              </w:rPr>
              <w:t xml:space="preserve"> (specifically which organisation) will deliver them. </w:t>
            </w:r>
          </w:p>
          <w:p w14:paraId="62B5FC15" w14:textId="68AD22B7" w:rsidR="00885A10" w:rsidRDefault="00885A10" w:rsidP="00871B34">
            <w:pPr>
              <w:pStyle w:val="DPCtabletext"/>
              <w:rPr>
                <w:sz w:val="20"/>
                <w:szCs w:val="20"/>
              </w:rPr>
            </w:pPr>
            <w:r w:rsidRPr="00871B34">
              <w:rPr>
                <w:sz w:val="20"/>
                <w:szCs w:val="20"/>
              </w:rPr>
              <w:t>Inductions should be held prior to the activity</w:t>
            </w:r>
            <w:r w:rsidR="00C53D29">
              <w:rPr>
                <w:sz w:val="20"/>
                <w:szCs w:val="20"/>
              </w:rPr>
              <w:t xml:space="preserve"> or </w:t>
            </w:r>
            <w:r w:rsidRPr="00871B34">
              <w:rPr>
                <w:sz w:val="20"/>
                <w:szCs w:val="20"/>
              </w:rPr>
              <w:t xml:space="preserve">any works associated with the activity commencing. </w:t>
            </w:r>
          </w:p>
          <w:p w14:paraId="2F2FE80A" w14:textId="1EAF08D7" w:rsidR="00AC147A" w:rsidRDefault="00AC147A" w:rsidP="00AC147A">
            <w:pPr>
              <w:pStyle w:val="DPCtabletext"/>
              <w:rPr>
                <w:sz w:val="20"/>
                <w:szCs w:val="20"/>
              </w:rPr>
            </w:pPr>
            <w:r>
              <w:rPr>
                <w:sz w:val="20"/>
                <w:szCs w:val="20"/>
              </w:rPr>
              <w:t>C</w:t>
            </w:r>
            <w:r w:rsidR="007D5198">
              <w:rPr>
                <w:sz w:val="20"/>
                <w:szCs w:val="20"/>
              </w:rPr>
              <w:t>ontractors should be</w:t>
            </w:r>
            <w:r>
              <w:rPr>
                <w:sz w:val="20"/>
                <w:szCs w:val="20"/>
              </w:rPr>
              <w:t xml:space="preserve"> inform</w:t>
            </w:r>
            <w:r w:rsidR="007D5198">
              <w:rPr>
                <w:sz w:val="20"/>
                <w:szCs w:val="20"/>
              </w:rPr>
              <w:t>ed</w:t>
            </w:r>
            <w:r>
              <w:rPr>
                <w:sz w:val="20"/>
                <w:szCs w:val="20"/>
              </w:rPr>
              <w:t xml:space="preserve"> of suspected Aboriginal cultural heritage, the fencing, signage.</w:t>
            </w:r>
          </w:p>
          <w:p w14:paraId="5519BC91" w14:textId="77777777" w:rsidR="00AC147A" w:rsidRPr="00871B34" w:rsidRDefault="00AC147A" w:rsidP="00871B34">
            <w:pPr>
              <w:pStyle w:val="DPCtabletext"/>
              <w:rPr>
                <w:sz w:val="20"/>
                <w:szCs w:val="20"/>
              </w:rPr>
            </w:pPr>
          </w:p>
          <w:p w14:paraId="7A94AFBB" w14:textId="77777777" w:rsidR="00885A10" w:rsidRPr="00871B34" w:rsidRDefault="00885A10" w:rsidP="00871B34">
            <w:pPr>
              <w:pStyle w:val="DPCtabletext"/>
              <w:rPr>
                <w:sz w:val="20"/>
                <w:szCs w:val="20"/>
              </w:rPr>
            </w:pPr>
          </w:p>
        </w:tc>
        <w:tc>
          <w:tcPr>
            <w:tcW w:w="4314" w:type="dxa"/>
          </w:tcPr>
          <w:p w14:paraId="35268DAC" w14:textId="77777777" w:rsidR="00885A10" w:rsidRPr="00871B34" w:rsidRDefault="00885A10" w:rsidP="00871B34">
            <w:pPr>
              <w:pStyle w:val="DPCtabletext"/>
              <w:rPr>
                <w:sz w:val="20"/>
                <w:szCs w:val="20"/>
              </w:rPr>
            </w:pPr>
            <w:r w:rsidRPr="00871B34">
              <w:rPr>
                <w:sz w:val="20"/>
                <w:szCs w:val="20"/>
              </w:rPr>
              <w:t>Consider including:</w:t>
            </w:r>
          </w:p>
          <w:p w14:paraId="2315D953" w14:textId="77777777" w:rsidR="00885A10" w:rsidRPr="00871B34" w:rsidRDefault="00885A10" w:rsidP="00871B34">
            <w:pPr>
              <w:pStyle w:val="DPCtabletext"/>
              <w:rPr>
                <w:sz w:val="20"/>
                <w:szCs w:val="20"/>
              </w:rPr>
            </w:pPr>
            <w:r w:rsidRPr="00871B34">
              <w:rPr>
                <w:sz w:val="20"/>
                <w:szCs w:val="20"/>
              </w:rPr>
              <w:t xml:space="preserve">A condition for </w:t>
            </w:r>
            <w:r w:rsidRPr="00871B34">
              <w:rPr>
                <w:b/>
                <w:sz w:val="20"/>
                <w:szCs w:val="20"/>
              </w:rPr>
              <w:t>where</w:t>
            </w:r>
            <w:r w:rsidRPr="00871B34">
              <w:rPr>
                <w:sz w:val="20"/>
                <w:szCs w:val="20"/>
              </w:rPr>
              <w:t xml:space="preserve"> the induction will occur. Conducting an induction on site has advantages in allowing attendees to more clearly identify location and the scope of the activity area. Do consider a flexible option for the location of an induction. Limiting the condition to an onsite location may raise a non-compliance issue if bad weather or other obstacles prevent the induction from happening. </w:t>
            </w:r>
          </w:p>
          <w:p w14:paraId="183F16D4" w14:textId="77777777" w:rsidR="00885A10" w:rsidRPr="00871B34" w:rsidRDefault="00885A10" w:rsidP="00871B34">
            <w:pPr>
              <w:pStyle w:val="DPCtabletext"/>
              <w:rPr>
                <w:sz w:val="20"/>
                <w:szCs w:val="20"/>
              </w:rPr>
            </w:pPr>
            <w:r w:rsidRPr="00871B34">
              <w:rPr>
                <w:sz w:val="20"/>
                <w:szCs w:val="20"/>
              </w:rPr>
              <w:t>A requirement to keep a record (such as a sign-off sheet) of induction attendees and any induction materials.</w:t>
            </w:r>
          </w:p>
          <w:p w14:paraId="475B760B" w14:textId="77777777" w:rsidR="00885A10" w:rsidRPr="00871B34" w:rsidRDefault="00885A10" w:rsidP="00871B34">
            <w:pPr>
              <w:pStyle w:val="DPCtabletext"/>
              <w:rPr>
                <w:sz w:val="20"/>
                <w:szCs w:val="20"/>
              </w:rPr>
            </w:pPr>
            <w:r w:rsidRPr="00871B34">
              <w:rPr>
                <w:sz w:val="20"/>
                <w:szCs w:val="20"/>
              </w:rPr>
              <w:t>Induction conditions may include the presentation of a timeline for the conditions within the broader project milestones</w:t>
            </w:r>
            <w:r w:rsidR="00C53D29">
              <w:rPr>
                <w:sz w:val="20"/>
                <w:szCs w:val="20"/>
              </w:rPr>
              <w:t xml:space="preserve"> or </w:t>
            </w:r>
            <w:r w:rsidRPr="00871B34">
              <w:rPr>
                <w:sz w:val="20"/>
                <w:szCs w:val="20"/>
              </w:rPr>
              <w:t>time frames.</w:t>
            </w:r>
          </w:p>
          <w:p w14:paraId="1ACC5239" w14:textId="77777777" w:rsidR="00885A10" w:rsidRPr="00871B34" w:rsidRDefault="00885A10" w:rsidP="00871B34">
            <w:pPr>
              <w:pStyle w:val="DPCtabletext"/>
              <w:rPr>
                <w:sz w:val="20"/>
                <w:szCs w:val="20"/>
              </w:rPr>
            </w:pPr>
            <w:r w:rsidRPr="00871B34">
              <w:rPr>
                <w:sz w:val="20"/>
                <w:szCs w:val="20"/>
              </w:rPr>
              <w:t>An induction condition for new personnel arriving who did not attend prior to works commencing, for example, ‘</w:t>
            </w:r>
            <w:r w:rsidRPr="00871B34">
              <w:rPr>
                <w:i/>
                <w:sz w:val="20"/>
                <w:szCs w:val="20"/>
              </w:rPr>
              <w:t>An inducted site supervisor may provide an induction for contracted staff’</w:t>
            </w:r>
            <w:r w:rsidRPr="00871B34">
              <w:rPr>
                <w:sz w:val="20"/>
                <w:szCs w:val="20"/>
              </w:rPr>
              <w:t>.</w:t>
            </w:r>
          </w:p>
          <w:p w14:paraId="2B7B2076" w14:textId="0B8702B8" w:rsidR="00885A10" w:rsidRDefault="00885A10" w:rsidP="00871B34">
            <w:pPr>
              <w:pStyle w:val="DPCtabletext"/>
              <w:rPr>
                <w:sz w:val="20"/>
                <w:szCs w:val="20"/>
              </w:rPr>
            </w:pPr>
            <w:r w:rsidRPr="00871B34">
              <w:rPr>
                <w:sz w:val="20"/>
                <w:szCs w:val="20"/>
              </w:rPr>
              <w:t xml:space="preserve">Consider stipulating who needs to attend the induction. </w:t>
            </w:r>
          </w:p>
          <w:p w14:paraId="2DE64C6F" w14:textId="77777777" w:rsidR="00AC147A" w:rsidRPr="00871B34" w:rsidRDefault="00AC147A" w:rsidP="00AC147A">
            <w:pPr>
              <w:pStyle w:val="DPCtabletext"/>
              <w:rPr>
                <w:sz w:val="20"/>
                <w:szCs w:val="20"/>
              </w:rPr>
            </w:pPr>
            <w:r>
              <w:rPr>
                <w:sz w:val="20"/>
                <w:szCs w:val="20"/>
              </w:rPr>
              <w:t>Consider stipulating that Aboriginal cultural heritage finds are not to be reported to the media.</w:t>
            </w:r>
          </w:p>
          <w:p w14:paraId="2D991AD9" w14:textId="77777777" w:rsidR="00885A10" w:rsidRPr="00871B34" w:rsidRDefault="00885A10" w:rsidP="00401322">
            <w:pPr>
              <w:pStyle w:val="DPCtabletext"/>
              <w:spacing w:after="120"/>
              <w:rPr>
                <w:sz w:val="20"/>
                <w:szCs w:val="20"/>
              </w:rPr>
            </w:pPr>
            <w:r w:rsidRPr="00871B34">
              <w:rPr>
                <w:sz w:val="20"/>
                <w:szCs w:val="20"/>
              </w:rPr>
              <w:t xml:space="preserve">A regular time for reviewing compliance with conditions by onsite personnel, for example; reviewing the compliance checklist during toolbox or job safety meetings. </w:t>
            </w:r>
          </w:p>
        </w:tc>
      </w:tr>
      <w:tr w:rsidR="00885A10" w:rsidRPr="00871B34" w14:paraId="6F2B9F3C" w14:textId="77777777" w:rsidTr="00BB1969">
        <w:trPr>
          <w:cantSplit/>
          <w:tblHeader/>
        </w:trPr>
        <w:tc>
          <w:tcPr>
            <w:tcW w:w="1818" w:type="dxa"/>
          </w:tcPr>
          <w:p w14:paraId="6D4B9E36" w14:textId="77777777" w:rsidR="00885A10" w:rsidRPr="00FD7F14" w:rsidRDefault="00885A10" w:rsidP="002E7AE2">
            <w:pPr>
              <w:pStyle w:val="DPCtablecolhead"/>
            </w:pPr>
            <w:r>
              <w:t>Compliance Inspections</w:t>
            </w:r>
          </w:p>
        </w:tc>
        <w:tc>
          <w:tcPr>
            <w:tcW w:w="3260" w:type="dxa"/>
          </w:tcPr>
          <w:p w14:paraId="090179A1" w14:textId="77777777" w:rsidR="00885A10" w:rsidRPr="00871B34" w:rsidRDefault="00885A10" w:rsidP="00871B34">
            <w:pPr>
              <w:pStyle w:val="DPCtabletext"/>
              <w:rPr>
                <w:sz w:val="20"/>
                <w:szCs w:val="20"/>
              </w:rPr>
            </w:pPr>
            <w:r w:rsidRPr="00871B34">
              <w:rPr>
                <w:sz w:val="20"/>
                <w:szCs w:val="20"/>
              </w:rPr>
              <w:t>Ensure conditions outlining when compliance inspections must occur are tied to a specific activity i.e. “before ground disturbing works begin”</w:t>
            </w:r>
          </w:p>
        </w:tc>
        <w:tc>
          <w:tcPr>
            <w:tcW w:w="4314" w:type="dxa"/>
          </w:tcPr>
          <w:p w14:paraId="18A3BA48" w14:textId="77777777" w:rsidR="00885A10" w:rsidRPr="00871B34" w:rsidRDefault="00885A10" w:rsidP="00871B34">
            <w:pPr>
              <w:pStyle w:val="DPCtabletext"/>
              <w:rPr>
                <w:sz w:val="20"/>
                <w:szCs w:val="20"/>
              </w:rPr>
            </w:pPr>
            <w:r w:rsidRPr="00871B34">
              <w:rPr>
                <w:sz w:val="20"/>
                <w:szCs w:val="20"/>
              </w:rPr>
              <w:t>Be careful about specifying the number of compliance inspections required. For example, if the condition says “</w:t>
            </w:r>
            <w:r w:rsidRPr="00871B34">
              <w:rPr>
                <w:i/>
                <w:sz w:val="20"/>
                <w:szCs w:val="20"/>
              </w:rPr>
              <w:t>a compliance inspection must be undertaken</w:t>
            </w:r>
            <w:r w:rsidRPr="00871B34">
              <w:rPr>
                <w:sz w:val="20"/>
                <w:szCs w:val="20"/>
              </w:rPr>
              <w:t>” the ‘</w:t>
            </w:r>
            <w:r w:rsidRPr="00871B34">
              <w:rPr>
                <w:i/>
                <w:sz w:val="20"/>
                <w:szCs w:val="20"/>
              </w:rPr>
              <w:t>a</w:t>
            </w:r>
            <w:r w:rsidRPr="00871B34">
              <w:rPr>
                <w:sz w:val="20"/>
                <w:szCs w:val="20"/>
              </w:rPr>
              <w:t xml:space="preserve">’ limits it to </w:t>
            </w:r>
            <w:r w:rsidRPr="00871B34">
              <w:rPr>
                <w:sz w:val="20"/>
                <w:szCs w:val="20"/>
                <w:u w:val="single"/>
              </w:rPr>
              <w:t>one</w:t>
            </w:r>
            <w:r w:rsidRPr="00871B34">
              <w:rPr>
                <w:sz w:val="20"/>
                <w:szCs w:val="20"/>
              </w:rPr>
              <w:t>.</w:t>
            </w:r>
          </w:p>
          <w:p w14:paraId="5C2E16C0" w14:textId="77777777" w:rsidR="00885A10" w:rsidRPr="00871B34" w:rsidRDefault="00885A10" w:rsidP="00401322">
            <w:pPr>
              <w:pStyle w:val="DPCtabletext"/>
              <w:spacing w:after="120"/>
              <w:rPr>
                <w:sz w:val="20"/>
                <w:szCs w:val="20"/>
              </w:rPr>
            </w:pPr>
            <w:r w:rsidRPr="00871B34">
              <w:rPr>
                <w:sz w:val="20"/>
                <w:szCs w:val="20"/>
              </w:rPr>
              <w:t>Consider saying “as deemed necessary” if you would like to allow discretion.</w:t>
            </w:r>
            <w:r w:rsidR="00F40741">
              <w:rPr>
                <w:sz w:val="20"/>
                <w:szCs w:val="20"/>
              </w:rPr>
              <w:t xml:space="preserve"> Refer to Appendix 1 for further information.</w:t>
            </w:r>
          </w:p>
        </w:tc>
      </w:tr>
      <w:tr w:rsidR="00885A10" w:rsidRPr="00871B34" w14:paraId="724B999A" w14:textId="77777777" w:rsidTr="00BB1969">
        <w:trPr>
          <w:cantSplit/>
          <w:tblHeader/>
        </w:trPr>
        <w:tc>
          <w:tcPr>
            <w:tcW w:w="1818" w:type="dxa"/>
          </w:tcPr>
          <w:p w14:paraId="7788B8AE" w14:textId="77777777" w:rsidR="00885A10" w:rsidRPr="00FD7F14" w:rsidRDefault="00885A10" w:rsidP="002E7AE2">
            <w:pPr>
              <w:pStyle w:val="DPCtablecolhead"/>
            </w:pPr>
            <w:r w:rsidRPr="00FD7F14">
              <w:lastRenderedPageBreak/>
              <w:t>Fencing</w:t>
            </w:r>
            <w:r>
              <w:t xml:space="preserve"> and signage</w:t>
            </w:r>
          </w:p>
          <w:p w14:paraId="5321DD07" w14:textId="77777777" w:rsidR="00885A10" w:rsidRPr="00FD7F14" w:rsidRDefault="00885A10" w:rsidP="002E7AE2">
            <w:pPr>
              <w:pStyle w:val="DPCtablecolhead"/>
            </w:pPr>
          </w:p>
        </w:tc>
        <w:tc>
          <w:tcPr>
            <w:tcW w:w="3260" w:type="dxa"/>
          </w:tcPr>
          <w:p w14:paraId="55292C16" w14:textId="77777777" w:rsidR="00885A10" w:rsidRPr="00871B34" w:rsidRDefault="00885A10" w:rsidP="00871B34">
            <w:pPr>
              <w:pStyle w:val="DPCtabletext"/>
              <w:rPr>
                <w:sz w:val="20"/>
                <w:szCs w:val="20"/>
              </w:rPr>
            </w:pPr>
            <w:r w:rsidRPr="00871B34">
              <w:rPr>
                <w:sz w:val="20"/>
                <w:szCs w:val="20"/>
              </w:rPr>
              <w:t>Must include specific timeframes for fencing erection and removal; specify whether the fencing must remain in place for the duration of the activity or be removed once a specific event has occurred.</w:t>
            </w:r>
          </w:p>
          <w:p w14:paraId="278D19F7" w14:textId="77777777" w:rsidR="00885A10" w:rsidRPr="00871B34" w:rsidRDefault="00885A10" w:rsidP="00871B34">
            <w:pPr>
              <w:pStyle w:val="DPCtabletext"/>
              <w:rPr>
                <w:sz w:val="20"/>
                <w:szCs w:val="20"/>
              </w:rPr>
            </w:pPr>
            <w:r w:rsidRPr="00871B34">
              <w:rPr>
                <w:sz w:val="20"/>
                <w:szCs w:val="20"/>
              </w:rPr>
              <w:t xml:space="preserve">Fencing conditions must include signage stating the accessibility to the area. </w:t>
            </w:r>
          </w:p>
          <w:p w14:paraId="6B29E7A1" w14:textId="77777777" w:rsidR="00885A10" w:rsidRPr="00871B34" w:rsidRDefault="00885A10" w:rsidP="00871B34">
            <w:pPr>
              <w:pStyle w:val="DPCtabletext"/>
              <w:rPr>
                <w:sz w:val="20"/>
                <w:szCs w:val="20"/>
              </w:rPr>
            </w:pPr>
            <w:r w:rsidRPr="00871B34">
              <w:rPr>
                <w:sz w:val="20"/>
                <w:szCs w:val="20"/>
              </w:rPr>
              <w:t xml:space="preserve">Conditions for signage must state that the signage must be clearly visible </w:t>
            </w:r>
            <w:r w:rsidR="00FF0BDF">
              <w:rPr>
                <w:sz w:val="20"/>
                <w:szCs w:val="20"/>
              </w:rPr>
              <w:t>the outside</w:t>
            </w:r>
            <w:r w:rsidRPr="00871B34">
              <w:rPr>
                <w:sz w:val="20"/>
                <w:szCs w:val="20"/>
              </w:rPr>
              <w:t xml:space="preserve"> and legible at all times. </w:t>
            </w:r>
          </w:p>
          <w:p w14:paraId="41A7EF98" w14:textId="77777777" w:rsidR="00885A10" w:rsidRPr="00871B34" w:rsidRDefault="00885A10" w:rsidP="00871B34">
            <w:pPr>
              <w:pStyle w:val="DPCtabletext"/>
              <w:rPr>
                <w:sz w:val="20"/>
                <w:szCs w:val="20"/>
              </w:rPr>
            </w:pPr>
          </w:p>
        </w:tc>
        <w:tc>
          <w:tcPr>
            <w:tcW w:w="4314" w:type="dxa"/>
          </w:tcPr>
          <w:p w14:paraId="629F6778" w14:textId="77777777" w:rsidR="00885A10" w:rsidRPr="00871B34" w:rsidRDefault="00885A10" w:rsidP="00871B34">
            <w:pPr>
              <w:pStyle w:val="DPCtabletext"/>
              <w:rPr>
                <w:sz w:val="20"/>
                <w:szCs w:val="20"/>
              </w:rPr>
            </w:pPr>
            <w:r w:rsidRPr="00871B34">
              <w:rPr>
                <w:sz w:val="20"/>
                <w:szCs w:val="20"/>
              </w:rPr>
              <w:t>To determine the type of fencing focus on the intended purpose</w:t>
            </w:r>
            <w:r w:rsidR="009132DE">
              <w:rPr>
                <w:sz w:val="20"/>
                <w:szCs w:val="20"/>
              </w:rPr>
              <w:t xml:space="preserve"> </w:t>
            </w:r>
            <w:r w:rsidRPr="00871B34">
              <w:rPr>
                <w:sz w:val="20"/>
                <w:szCs w:val="20"/>
              </w:rPr>
              <w:t>e.g.</w:t>
            </w:r>
            <w:r w:rsidR="000B7345">
              <w:rPr>
                <w:sz w:val="20"/>
                <w:szCs w:val="20"/>
              </w:rPr>
              <w:t xml:space="preserve"> </w:t>
            </w:r>
            <w:r w:rsidRPr="00871B34">
              <w:rPr>
                <w:sz w:val="20"/>
                <w:szCs w:val="20"/>
              </w:rPr>
              <w:t xml:space="preserve">what the fencing is trying to achieve and how you’re trying to achieve it. </w:t>
            </w:r>
          </w:p>
          <w:p w14:paraId="18514ADA" w14:textId="77777777" w:rsidR="00885A10" w:rsidRPr="00871B34" w:rsidRDefault="00885A10" w:rsidP="00871B34">
            <w:pPr>
              <w:pStyle w:val="DPCtabletext"/>
              <w:rPr>
                <w:sz w:val="20"/>
                <w:szCs w:val="20"/>
              </w:rPr>
            </w:pPr>
            <w:r w:rsidRPr="00871B34">
              <w:rPr>
                <w:sz w:val="20"/>
                <w:szCs w:val="20"/>
              </w:rPr>
              <w:t>Be careful about being too specific about the type of material used, as it might make the condition unachievable</w:t>
            </w:r>
            <w:r w:rsidR="00C53D29">
              <w:rPr>
                <w:sz w:val="20"/>
                <w:szCs w:val="20"/>
              </w:rPr>
              <w:t xml:space="preserve"> or </w:t>
            </w:r>
            <w:r w:rsidRPr="00871B34">
              <w:rPr>
                <w:sz w:val="20"/>
                <w:szCs w:val="20"/>
              </w:rPr>
              <w:t>unreasonable if this material is not available.</w:t>
            </w:r>
          </w:p>
          <w:p w14:paraId="01B14206" w14:textId="77777777" w:rsidR="00885A10" w:rsidRPr="00871B34" w:rsidRDefault="00885A10" w:rsidP="00871B34">
            <w:pPr>
              <w:pStyle w:val="DPCtabletext"/>
              <w:rPr>
                <w:sz w:val="20"/>
                <w:szCs w:val="20"/>
              </w:rPr>
            </w:pPr>
            <w:r w:rsidRPr="00871B34">
              <w:rPr>
                <w:sz w:val="20"/>
                <w:szCs w:val="20"/>
              </w:rPr>
              <w:t>Consider the effect the type of fencing will have on the Aboriginal place, ground surface, cultural heritage and location. For example: will the type of fencing attract unwanted</w:t>
            </w:r>
            <w:r w:rsidR="00C53D29">
              <w:rPr>
                <w:sz w:val="20"/>
                <w:szCs w:val="20"/>
              </w:rPr>
              <w:t xml:space="preserve"> or </w:t>
            </w:r>
            <w:r w:rsidRPr="00871B34">
              <w:rPr>
                <w:sz w:val="20"/>
                <w:szCs w:val="20"/>
              </w:rPr>
              <w:t>negative attention? Is the fencing sturdy enough to withstand impacts from stock in a paddock? Who is allowed to access a fenced location?</w:t>
            </w:r>
          </w:p>
          <w:p w14:paraId="083E95D5" w14:textId="77777777" w:rsidR="00885A10" w:rsidRPr="00871B34" w:rsidRDefault="00885A10" w:rsidP="00871B34">
            <w:pPr>
              <w:pStyle w:val="DPCtabletext"/>
              <w:rPr>
                <w:sz w:val="20"/>
                <w:szCs w:val="20"/>
              </w:rPr>
            </w:pPr>
            <w:r w:rsidRPr="00871B34">
              <w:rPr>
                <w:sz w:val="20"/>
                <w:szCs w:val="20"/>
              </w:rPr>
              <w:t>Consider including a condition for routine</w:t>
            </w:r>
            <w:r w:rsidR="00C53D29">
              <w:rPr>
                <w:sz w:val="20"/>
                <w:szCs w:val="20"/>
              </w:rPr>
              <w:t xml:space="preserve"> or </w:t>
            </w:r>
            <w:r w:rsidRPr="00871B34">
              <w:rPr>
                <w:sz w:val="20"/>
                <w:szCs w:val="20"/>
              </w:rPr>
              <w:t xml:space="preserve">regular check of fencing and signage to ensure it remains in place for the duration of the activity. </w:t>
            </w:r>
          </w:p>
          <w:p w14:paraId="6406C1F4" w14:textId="77777777" w:rsidR="00885A10" w:rsidRPr="00871B34" w:rsidRDefault="00885A10" w:rsidP="00401322">
            <w:pPr>
              <w:pStyle w:val="DPCtabletext"/>
              <w:spacing w:after="120"/>
              <w:rPr>
                <w:sz w:val="20"/>
                <w:szCs w:val="20"/>
              </w:rPr>
            </w:pPr>
            <w:r w:rsidRPr="00871B34">
              <w:rPr>
                <w:sz w:val="20"/>
                <w:szCs w:val="20"/>
              </w:rPr>
              <w:t>Think about including plans to show exactly where fences need be constructed.</w:t>
            </w:r>
          </w:p>
        </w:tc>
      </w:tr>
      <w:tr w:rsidR="00885A10" w:rsidRPr="00871B34" w14:paraId="25511589" w14:textId="77777777" w:rsidTr="00BB1969">
        <w:trPr>
          <w:cantSplit/>
          <w:tblHeader/>
        </w:trPr>
        <w:tc>
          <w:tcPr>
            <w:tcW w:w="1818" w:type="dxa"/>
          </w:tcPr>
          <w:p w14:paraId="5950900C" w14:textId="77777777" w:rsidR="00885A10" w:rsidRPr="00FD7F14" w:rsidRDefault="00885A10" w:rsidP="000A6852">
            <w:pPr>
              <w:pStyle w:val="DPCtablecolhead"/>
            </w:pPr>
            <w:r w:rsidRPr="00FD7F14">
              <w:t>Reburial and Repatriation</w:t>
            </w:r>
            <w:r>
              <w:t xml:space="preserve"> of artefacts</w:t>
            </w:r>
          </w:p>
          <w:p w14:paraId="02B2F3CE" w14:textId="77777777" w:rsidR="00885A10" w:rsidRPr="00FD7F14" w:rsidRDefault="00885A10" w:rsidP="002E7AE2">
            <w:pPr>
              <w:pStyle w:val="DPCtabletext"/>
            </w:pPr>
          </w:p>
        </w:tc>
        <w:tc>
          <w:tcPr>
            <w:tcW w:w="3260" w:type="dxa"/>
          </w:tcPr>
          <w:p w14:paraId="263FD857" w14:textId="77777777" w:rsidR="00885A10" w:rsidRPr="00871B34" w:rsidRDefault="00885A10" w:rsidP="00871B34">
            <w:pPr>
              <w:pStyle w:val="DPCtabletext"/>
              <w:rPr>
                <w:sz w:val="20"/>
                <w:szCs w:val="20"/>
              </w:rPr>
            </w:pPr>
            <w:r w:rsidRPr="00871B34">
              <w:rPr>
                <w:sz w:val="20"/>
                <w:szCs w:val="20"/>
              </w:rPr>
              <w:t>These conditions must be drafted in consultation with the RAP or relevant Traditional Owners.</w:t>
            </w:r>
          </w:p>
          <w:p w14:paraId="7A5B456A" w14:textId="77777777" w:rsidR="00885A10" w:rsidRPr="00871B34" w:rsidRDefault="00885A10" w:rsidP="00871B34">
            <w:pPr>
              <w:pStyle w:val="DPCtabletext"/>
              <w:rPr>
                <w:sz w:val="20"/>
                <w:szCs w:val="20"/>
              </w:rPr>
            </w:pPr>
          </w:p>
        </w:tc>
        <w:tc>
          <w:tcPr>
            <w:tcW w:w="4314" w:type="dxa"/>
          </w:tcPr>
          <w:p w14:paraId="1A82F31D" w14:textId="77777777" w:rsidR="00885A10" w:rsidRPr="00871B34" w:rsidRDefault="00885A10" w:rsidP="00871B34">
            <w:pPr>
              <w:pStyle w:val="DPCtabletext"/>
              <w:rPr>
                <w:sz w:val="20"/>
                <w:szCs w:val="20"/>
              </w:rPr>
            </w:pPr>
            <w:r w:rsidRPr="00871B34">
              <w:rPr>
                <w:sz w:val="20"/>
                <w:szCs w:val="20"/>
              </w:rPr>
              <w:t xml:space="preserve">Identify a stage in the project for reburial and repatriation to occur. </w:t>
            </w:r>
          </w:p>
          <w:p w14:paraId="2CB55FE6" w14:textId="77777777" w:rsidR="00885A10" w:rsidRPr="00871B34" w:rsidRDefault="00885A10" w:rsidP="00871B34">
            <w:pPr>
              <w:pStyle w:val="DPCtabletext"/>
              <w:rPr>
                <w:sz w:val="20"/>
                <w:szCs w:val="20"/>
              </w:rPr>
            </w:pPr>
            <w:r w:rsidRPr="00871B34">
              <w:rPr>
                <w:sz w:val="20"/>
                <w:szCs w:val="20"/>
              </w:rPr>
              <w:t>Be clear about the assignment of any associated costs and responsibilities</w:t>
            </w:r>
          </w:p>
          <w:p w14:paraId="452CD585" w14:textId="77777777" w:rsidR="00885A10" w:rsidRPr="00871B34" w:rsidRDefault="00885A10" w:rsidP="00871B34">
            <w:pPr>
              <w:pStyle w:val="DPCtabletext"/>
              <w:rPr>
                <w:sz w:val="20"/>
                <w:szCs w:val="20"/>
              </w:rPr>
            </w:pPr>
            <w:r w:rsidRPr="00871B34">
              <w:rPr>
                <w:sz w:val="20"/>
                <w:szCs w:val="20"/>
              </w:rPr>
              <w:t>Consider the materials to be used in the reburial. This should also be in consultation with the RAP or relevant Traditional Owner groups.</w:t>
            </w:r>
          </w:p>
          <w:p w14:paraId="6408166C" w14:textId="77777777" w:rsidR="00885A10" w:rsidRPr="00871B34" w:rsidRDefault="00885A10" w:rsidP="00401322">
            <w:pPr>
              <w:pStyle w:val="DPCtabletext"/>
              <w:spacing w:after="120"/>
              <w:rPr>
                <w:sz w:val="20"/>
                <w:szCs w:val="20"/>
              </w:rPr>
            </w:pPr>
            <w:r w:rsidRPr="00871B34">
              <w:rPr>
                <w:sz w:val="20"/>
                <w:szCs w:val="20"/>
              </w:rPr>
              <w:t>Consider specifying the depth of any reburial.</w:t>
            </w:r>
          </w:p>
        </w:tc>
      </w:tr>
      <w:tr w:rsidR="00885A10" w:rsidRPr="00871B34" w14:paraId="5786A054" w14:textId="77777777" w:rsidTr="00BB1969">
        <w:trPr>
          <w:cantSplit/>
          <w:tblHeader/>
        </w:trPr>
        <w:tc>
          <w:tcPr>
            <w:tcW w:w="1818" w:type="dxa"/>
          </w:tcPr>
          <w:p w14:paraId="32B3FC9E" w14:textId="77777777" w:rsidR="00885A10" w:rsidRPr="00FD7F14" w:rsidRDefault="00885A10" w:rsidP="002E7AE2">
            <w:pPr>
              <w:pStyle w:val="DPCtablecolhead"/>
            </w:pPr>
            <w:r w:rsidRPr="00FD7F14">
              <w:t>Artefact collection (surface collection)</w:t>
            </w:r>
          </w:p>
          <w:p w14:paraId="3DEEF6B1" w14:textId="77777777" w:rsidR="00885A10" w:rsidRPr="00FD7F14" w:rsidRDefault="00885A10" w:rsidP="00910D9A">
            <w:pPr>
              <w:pStyle w:val="DPCbody"/>
              <w:rPr>
                <w:b/>
              </w:rPr>
            </w:pPr>
          </w:p>
        </w:tc>
        <w:tc>
          <w:tcPr>
            <w:tcW w:w="3260" w:type="dxa"/>
          </w:tcPr>
          <w:p w14:paraId="137AAE1C" w14:textId="4E724398" w:rsidR="00885A10" w:rsidRPr="00871B34" w:rsidRDefault="00885A10" w:rsidP="00871B34">
            <w:pPr>
              <w:pStyle w:val="DPCtabletext"/>
              <w:rPr>
                <w:sz w:val="20"/>
                <w:szCs w:val="20"/>
              </w:rPr>
            </w:pPr>
            <w:r w:rsidRPr="00871B34">
              <w:rPr>
                <w:sz w:val="20"/>
                <w:szCs w:val="20"/>
              </w:rPr>
              <w:t>Conditions describing the collection of artefacts must be clear about the purpose for the collection</w:t>
            </w:r>
            <w:r w:rsidR="001829B4">
              <w:rPr>
                <w:sz w:val="20"/>
                <w:szCs w:val="20"/>
              </w:rPr>
              <w:t>,</w:t>
            </w:r>
            <w:r w:rsidRPr="00871B34">
              <w:rPr>
                <w:sz w:val="20"/>
                <w:szCs w:val="20"/>
              </w:rPr>
              <w:t xml:space="preserve"> how</w:t>
            </w:r>
            <w:r w:rsidR="001829B4">
              <w:rPr>
                <w:sz w:val="20"/>
                <w:szCs w:val="20"/>
              </w:rPr>
              <w:t xml:space="preserve"> and when</w:t>
            </w:r>
            <w:r w:rsidRPr="00871B34">
              <w:rPr>
                <w:sz w:val="20"/>
                <w:szCs w:val="20"/>
              </w:rPr>
              <w:t xml:space="preserve"> the collection must be undertaken.</w:t>
            </w:r>
          </w:p>
          <w:p w14:paraId="6476186C" w14:textId="77777777" w:rsidR="00885A10" w:rsidRPr="00871B34" w:rsidRDefault="00885A10" w:rsidP="00871B34">
            <w:pPr>
              <w:pStyle w:val="DPCtabletext"/>
              <w:rPr>
                <w:sz w:val="20"/>
                <w:szCs w:val="20"/>
              </w:rPr>
            </w:pPr>
          </w:p>
        </w:tc>
        <w:tc>
          <w:tcPr>
            <w:tcW w:w="4314" w:type="dxa"/>
          </w:tcPr>
          <w:p w14:paraId="2193E68A" w14:textId="77777777" w:rsidR="00885A10" w:rsidRPr="00871B34" w:rsidRDefault="00885A10" w:rsidP="00871B34">
            <w:pPr>
              <w:pStyle w:val="DPCtabletext"/>
              <w:rPr>
                <w:sz w:val="20"/>
                <w:szCs w:val="20"/>
              </w:rPr>
            </w:pPr>
            <w:r w:rsidRPr="00871B34">
              <w:rPr>
                <w:sz w:val="20"/>
                <w:szCs w:val="20"/>
              </w:rPr>
              <w:t>Conditions concerning artefact collections must include a methodology, that may specify:</w:t>
            </w:r>
          </w:p>
          <w:p w14:paraId="420006E9" w14:textId="721AFB11" w:rsidR="00885A10" w:rsidRPr="00871B34" w:rsidRDefault="00885A10" w:rsidP="00871B34">
            <w:pPr>
              <w:pStyle w:val="DPCtabletext"/>
              <w:rPr>
                <w:sz w:val="20"/>
                <w:szCs w:val="20"/>
              </w:rPr>
            </w:pPr>
            <w:r w:rsidRPr="00871B34">
              <w:rPr>
                <w:sz w:val="20"/>
                <w:szCs w:val="20"/>
              </w:rPr>
              <w:t>a measurable minimum level of ground surface visibility</w:t>
            </w:r>
            <w:r w:rsidR="001829B4">
              <w:rPr>
                <w:sz w:val="20"/>
                <w:szCs w:val="20"/>
              </w:rPr>
              <w:t xml:space="preserve"> (this may also include how this visibility will be achieved)</w:t>
            </w:r>
            <w:r w:rsidRPr="00871B34">
              <w:rPr>
                <w:sz w:val="20"/>
                <w:szCs w:val="20"/>
              </w:rPr>
              <w:t xml:space="preserve">; </w:t>
            </w:r>
          </w:p>
          <w:p w14:paraId="1615FD20" w14:textId="77777777" w:rsidR="00885A10" w:rsidRPr="00871B34" w:rsidRDefault="00885A10" w:rsidP="00871B34">
            <w:pPr>
              <w:pStyle w:val="DPCtabletext"/>
              <w:rPr>
                <w:sz w:val="20"/>
                <w:szCs w:val="20"/>
              </w:rPr>
            </w:pPr>
            <w:r w:rsidRPr="00871B34">
              <w:rPr>
                <w:sz w:val="20"/>
                <w:szCs w:val="20"/>
              </w:rPr>
              <w:t>a search radius of artefact location when unable to re-locate previously recorded;</w:t>
            </w:r>
          </w:p>
          <w:p w14:paraId="649C7E5A" w14:textId="77777777" w:rsidR="00885A10" w:rsidRPr="00871B34" w:rsidRDefault="00885A10" w:rsidP="00871B34">
            <w:pPr>
              <w:pStyle w:val="DPCtabletext"/>
              <w:rPr>
                <w:sz w:val="20"/>
                <w:szCs w:val="20"/>
              </w:rPr>
            </w:pPr>
            <w:r w:rsidRPr="00871B34">
              <w:rPr>
                <w:sz w:val="20"/>
                <w:szCs w:val="20"/>
              </w:rPr>
              <w:t>who must undertake the collection (e.g. a suitably qualified archaeologist);</w:t>
            </w:r>
          </w:p>
          <w:p w14:paraId="62A838B5" w14:textId="77777777" w:rsidR="00885A10" w:rsidRPr="00871B34" w:rsidRDefault="00885A10" w:rsidP="00871B34">
            <w:pPr>
              <w:pStyle w:val="DPCtabletext"/>
              <w:rPr>
                <w:sz w:val="20"/>
                <w:szCs w:val="20"/>
              </w:rPr>
            </w:pPr>
            <w:r w:rsidRPr="00871B34">
              <w:rPr>
                <w:sz w:val="20"/>
                <w:szCs w:val="20"/>
              </w:rPr>
              <w:t>reporting requirements to the VAHR with specific timeframes</w:t>
            </w:r>
          </w:p>
          <w:p w14:paraId="6A9454D0" w14:textId="05271414" w:rsidR="00885A10" w:rsidRPr="00871B34" w:rsidRDefault="00885A10" w:rsidP="00401322">
            <w:pPr>
              <w:pStyle w:val="DPCtabletext"/>
              <w:spacing w:after="120"/>
              <w:rPr>
                <w:sz w:val="20"/>
                <w:szCs w:val="20"/>
              </w:rPr>
            </w:pPr>
            <w:r w:rsidRPr="00871B34">
              <w:rPr>
                <w:sz w:val="20"/>
                <w:szCs w:val="20"/>
              </w:rPr>
              <w:t xml:space="preserve">Refer to AV’s </w:t>
            </w:r>
            <w:hyperlink r:id="rId15" w:history="1">
              <w:r w:rsidR="00995981" w:rsidRPr="00FE15FB">
                <w:rPr>
                  <w:i/>
                  <w:color w:val="0072CE" w:themeColor="hyperlink"/>
                  <w:sz w:val="20"/>
                  <w:szCs w:val="20"/>
                  <w:u w:val="single"/>
                </w:rPr>
                <w:t>Practice Note</w:t>
              </w:r>
              <w:r w:rsidR="001829B4">
                <w:rPr>
                  <w:i/>
                  <w:color w:val="0072CE" w:themeColor="hyperlink"/>
                  <w:sz w:val="20"/>
                  <w:szCs w:val="20"/>
                  <w:u w:val="single"/>
                </w:rPr>
                <w:t>:</w:t>
              </w:r>
              <w:r w:rsidR="00995981" w:rsidRPr="00FE15FB">
                <w:rPr>
                  <w:i/>
                  <w:color w:val="0072CE" w:themeColor="hyperlink"/>
                  <w:sz w:val="20"/>
                  <w:szCs w:val="20"/>
                  <w:u w:val="single"/>
                </w:rPr>
                <w:t xml:space="preserve"> Salvage Excavation</w:t>
              </w:r>
            </w:hyperlink>
            <w:r w:rsidR="00995981" w:rsidRPr="00FE15FB">
              <w:rPr>
                <w:i/>
                <w:color w:val="0072CE" w:themeColor="hyperlink"/>
                <w:sz w:val="20"/>
                <w:szCs w:val="20"/>
                <w:u w:val="single"/>
              </w:rPr>
              <w:t xml:space="preserve"> </w:t>
            </w:r>
            <w:r w:rsidR="00995981" w:rsidRPr="001829B4">
              <w:rPr>
                <w:color w:val="auto"/>
                <w:sz w:val="20"/>
                <w:szCs w:val="20"/>
              </w:rPr>
              <w:t xml:space="preserve">on the AV website </w:t>
            </w:r>
            <w:r w:rsidRPr="00871B34">
              <w:rPr>
                <w:sz w:val="20"/>
                <w:szCs w:val="20"/>
              </w:rPr>
              <w:t>for elements to be considered when drafting a condition for the collection of artefacts.</w:t>
            </w:r>
          </w:p>
        </w:tc>
      </w:tr>
      <w:tr w:rsidR="00885A10" w:rsidRPr="00871B34" w14:paraId="1CEAD292" w14:textId="77777777" w:rsidTr="00BB1969">
        <w:trPr>
          <w:cantSplit/>
          <w:tblHeader/>
        </w:trPr>
        <w:tc>
          <w:tcPr>
            <w:tcW w:w="1818" w:type="dxa"/>
          </w:tcPr>
          <w:p w14:paraId="62C19E84" w14:textId="77777777" w:rsidR="00885A10" w:rsidRPr="00FD7F14" w:rsidRDefault="00885A10" w:rsidP="002E7AE2">
            <w:pPr>
              <w:pStyle w:val="DPCtablecolhead"/>
            </w:pPr>
            <w:r>
              <w:lastRenderedPageBreak/>
              <w:t>Artefact relocation</w:t>
            </w:r>
          </w:p>
        </w:tc>
        <w:tc>
          <w:tcPr>
            <w:tcW w:w="3260" w:type="dxa"/>
          </w:tcPr>
          <w:p w14:paraId="38EB0C4A" w14:textId="77777777" w:rsidR="00885A10" w:rsidRPr="00871B34" w:rsidRDefault="00885A10" w:rsidP="00401322">
            <w:pPr>
              <w:pStyle w:val="DPCtabletext"/>
              <w:spacing w:after="120"/>
              <w:rPr>
                <w:sz w:val="20"/>
                <w:szCs w:val="20"/>
              </w:rPr>
            </w:pPr>
            <w:r w:rsidRPr="00871B34">
              <w:rPr>
                <w:sz w:val="20"/>
                <w:szCs w:val="20"/>
              </w:rPr>
              <w:t>In some instances, it may be appropriate to include a condition for relocating artefacts. Relocation is more appropriate when it mitigates harm to an artefact. This may be appropriate for moving isolated occurrences of surface stone artefacts off a road to a safer location beside the road. In the road example, the artefacts would incur greater harm by remaining on the road, than not. This also allows for cultural heritage to remain on country and precludes the need for storage and reburial or repatriation to be arranged. It can be a minimised harm option. This will most likely be an appropriate management option for low density artefact distributions (LDADs).</w:t>
            </w:r>
          </w:p>
        </w:tc>
        <w:tc>
          <w:tcPr>
            <w:tcW w:w="4314" w:type="dxa"/>
          </w:tcPr>
          <w:p w14:paraId="2C4340A9" w14:textId="77777777" w:rsidR="00885A10" w:rsidRPr="00871B34" w:rsidRDefault="00885A10" w:rsidP="00871B34">
            <w:pPr>
              <w:pStyle w:val="DPCtabletext"/>
              <w:rPr>
                <w:sz w:val="20"/>
                <w:szCs w:val="20"/>
              </w:rPr>
            </w:pPr>
            <w:r w:rsidRPr="00871B34">
              <w:rPr>
                <w:sz w:val="20"/>
                <w:szCs w:val="20"/>
              </w:rPr>
              <w:t xml:space="preserve">Consideration must be given to the type of cultural heritage considered for this type of management. </w:t>
            </w:r>
          </w:p>
          <w:p w14:paraId="2B145BB4" w14:textId="77777777" w:rsidR="00885A10" w:rsidRPr="00871B34" w:rsidRDefault="00885A10" w:rsidP="00871B34">
            <w:pPr>
              <w:pStyle w:val="DPCtabletext"/>
              <w:rPr>
                <w:sz w:val="20"/>
                <w:szCs w:val="20"/>
              </w:rPr>
            </w:pPr>
            <w:r w:rsidRPr="00871B34">
              <w:rPr>
                <w:sz w:val="20"/>
                <w:szCs w:val="20"/>
              </w:rPr>
              <w:t xml:space="preserve">Consider parameters for the distance of the relocation away from its original location. </w:t>
            </w:r>
          </w:p>
          <w:p w14:paraId="470EC6BB" w14:textId="77777777" w:rsidR="00885A10" w:rsidRPr="00871B34" w:rsidRDefault="00885A10" w:rsidP="00871B34">
            <w:pPr>
              <w:pStyle w:val="DPCtabletext"/>
              <w:rPr>
                <w:sz w:val="20"/>
                <w:szCs w:val="20"/>
              </w:rPr>
            </w:pPr>
            <w:r w:rsidRPr="00871B34">
              <w:rPr>
                <w:sz w:val="20"/>
                <w:szCs w:val="20"/>
              </w:rPr>
              <w:t xml:space="preserve">Consider specifying a timeframe for recording of the cultural heritage relocated. This must be completed with the appropriate forms completed and submitted, including spatial data, to the VAHR. </w:t>
            </w:r>
          </w:p>
        </w:tc>
      </w:tr>
      <w:tr w:rsidR="00885A10" w:rsidRPr="00871B34" w14:paraId="35411D39" w14:textId="77777777" w:rsidTr="00BB1969">
        <w:trPr>
          <w:cantSplit/>
          <w:tblHeader/>
        </w:trPr>
        <w:tc>
          <w:tcPr>
            <w:tcW w:w="1818" w:type="dxa"/>
          </w:tcPr>
          <w:p w14:paraId="779CEE52" w14:textId="77777777" w:rsidR="00885A10" w:rsidRPr="00FD7F14" w:rsidRDefault="00885A10" w:rsidP="009625DD">
            <w:pPr>
              <w:pStyle w:val="DPCtablecolhead"/>
            </w:pPr>
            <w:r w:rsidRPr="00FD7F14">
              <w:t>Salvage excavation</w:t>
            </w:r>
          </w:p>
          <w:p w14:paraId="5A6FC456" w14:textId="77777777" w:rsidR="00885A10" w:rsidRPr="00FD7F14" w:rsidRDefault="00885A10" w:rsidP="009625DD">
            <w:pPr>
              <w:pStyle w:val="DPCtablecolhead"/>
            </w:pPr>
          </w:p>
        </w:tc>
        <w:tc>
          <w:tcPr>
            <w:tcW w:w="3260" w:type="dxa"/>
          </w:tcPr>
          <w:p w14:paraId="0CCBFD86" w14:textId="77777777" w:rsidR="00885A10" w:rsidRPr="00871B34" w:rsidRDefault="00885A10" w:rsidP="00871B34">
            <w:pPr>
              <w:pStyle w:val="DPCtabletext"/>
              <w:rPr>
                <w:sz w:val="20"/>
                <w:szCs w:val="20"/>
              </w:rPr>
            </w:pPr>
            <w:r w:rsidRPr="00871B34">
              <w:rPr>
                <w:sz w:val="20"/>
                <w:szCs w:val="20"/>
              </w:rPr>
              <w:t xml:space="preserve">If areas are identified for specific levels of impact </w:t>
            </w:r>
            <w:r w:rsidR="00C53D29">
              <w:rPr>
                <w:sz w:val="20"/>
                <w:szCs w:val="20"/>
              </w:rPr>
              <w:t>or</w:t>
            </w:r>
            <w:r w:rsidRPr="00871B34">
              <w:rPr>
                <w:sz w:val="20"/>
                <w:szCs w:val="20"/>
              </w:rPr>
              <w:t xml:space="preserve"> activities, the conditions must clearly state what is permitted and specify where, it is permitted (refer to Fencing above). </w:t>
            </w:r>
          </w:p>
          <w:p w14:paraId="08C9AED6" w14:textId="62CA4248" w:rsidR="00885A10" w:rsidRPr="00871B34" w:rsidRDefault="00885A10" w:rsidP="00871B34">
            <w:pPr>
              <w:pStyle w:val="DPCtabletext"/>
              <w:rPr>
                <w:sz w:val="20"/>
                <w:szCs w:val="20"/>
              </w:rPr>
            </w:pPr>
            <w:r w:rsidRPr="00871B34">
              <w:rPr>
                <w:sz w:val="20"/>
                <w:szCs w:val="20"/>
              </w:rPr>
              <w:t>Inclusion of a notification requirement on commencement and completion of salvage is imperative. i.e. stipulate that the Sponsor must notify A</w:t>
            </w:r>
            <w:r w:rsidR="00401322">
              <w:rPr>
                <w:sz w:val="20"/>
                <w:szCs w:val="20"/>
              </w:rPr>
              <w:t xml:space="preserve">boriginal </w:t>
            </w:r>
            <w:r w:rsidRPr="00871B34">
              <w:rPr>
                <w:sz w:val="20"/>
                <w:szCs w:val="20"/>
              </w:rPr>
              <w:t>V</w:t>
            </w:r>
            <w:r w:rsidR="00401322">
              <w:rPr>
                <w:sz w:val="20"/>
                <w:szCs w:val="20"/>
              </w:rPr>
              <w:t>ictoria</w:t>
            </w:r>
            <w:r w:rsidRPr="00871B34">
              <w:rPr>
                <w:sz w:val="20"/>
                <w:szCs w:val="20"/>
              </w:rPr>
              <w:t xml:space="preserve"> (and where relevant, the RAP) upon commencement</w:t>
            </w:r>
            <w:r w:rsidR="00C53D29">
              <w:rPr>
                <w:sz w:val="20"/>
                <w:szCs w:val="20"/>
              </w:rPr>
              <w:t xml:space="preserve"> or </w:t>
            </w:r>
            <w:r w:rsidRPr="00871B34">
              <w:rPr>
                <w:sz w:val="20"/>
                <w:szCs w:val="20"/>
              </w:rPr>
              <w:t>completion of salvage</w:t>
            </w:r>
          </w:p>
          <w:p w14:paraId="3C450136" w14:textId="55E7EF83" w:rsidR="00885A10" w:rsidRPr="00871B34" w:rsidRDefault="00885A10" w:rsidP="00401322">
            <w:pPr>
              <w:pStyle w:val="DPCtabletext"/>
              <w:spacing w:after="120"/>
              <w:rPr>
                <w:sz w:val="20"/>
                <w:szCs w:val="20"/>
              </w:rPr>
            </w:pPr>
            <w:r w:rsidRPr="00871B34">
              <w:rPr>
                <w:sz w:val="20"/>
                <w:szCs w:val="20"/>
              </w:rPr>
              <w:t xml:space="preserve">Conditions must be drafted to be consistent with the requirements of the </w:t>
            </w:r>
            <w:hyperlink r:id="rId16" w:history="1">
              <w:r w:rsidRPr="00FE15FB">
                <w:rPr>
                  <w:i/>
                  <w:color w:val="0072CE" w:themeColor="hyperlink"/>
                  <w:sz w:val="20"/>
                  <w:szCs w:val="20"/>
                  <w:u w:val="single"/>
                </w:rPr>
                <w:t>Practice Note</w:t>
              </w:r>
              <w:r w:rsidR="001829B4">
                <w:rPr>
                  <w:i/>
                  <w:color w:val="0072CE" w:themeColor="hyperlink"/>
                  <w:sz w:val="20"/>
                  <w:szCs w:val="20"/>
                  <w:u w:val="single"/>
                </w:rPr>
                <w:t>:</w:t>
              </w:r>
              <w:r w:rsidRPr="00FE15FB">
                <w:rPr>
                  <w:i/>
                  <w:color w:val="0072CE" w:themeColor="hyperlink"/>
                  <w:sz w:val="20"/>
                  <w:szCs w:val="20"/>
                  <w:u w:val="single"/>
                </w:rPr>
                <w:t xml:space="preserve"> Salvage Excavation</w:t>
              </w:r>
            </w:hyperlink>
            <w:r w:rsidRPr="00FE15FB">
              <w:rPr>
                <w:i/>
                <w:color w:val="0072CE" w:themeColor="hyperlink"/>
                <w:sz w:val="20"/>
                <w:szCs w:val="20"/>
                <w:u w:val="single"/>
              </w:rPr>
              <w:t xml:space="preserve"> </w:t>
            </w:r>
            <w:r w:rsidRPr="001829B4">
              <w:rPr>
                <w:color w:val="auto"/>
                <w:sz w:val="20"/>
                <w:szCs w:val="20"/>
              </w:rPr>
              <w:t>on the A</w:t>
            </w:r>
            <w:r w:rsidR="0034382F">
              <w:rPr>
                <w:color w:val="auto"/>
                <w:sz w:val="20"/>
                <w:szCs w:val="20"/>
              </w:rPr>
              <w:t xml:space="preserve">boriginal </w:t>
            </w:r>
            <w:r w:rsidRPr="001829B4">
              <w:rPr>
                <w:color w:val="auto"/>
                <w:sz w:val="20"/>
                <w:szCs w:val="20"/>
              </w:rPr>
              <w:t>V</w:t>
            </w:r>
            <w:r w:rsidR="0034382F">
              <w:rPr>
                <w:color w:val="auto"/>
                <w:sz w:val="20"/>
                <w:szCs w:val="20"/>
              </w:rPr>
              <w:t>ictoria</w:t>
            </w:r>
            <w:r w:rsidRPr="001829B4">
              <w:rPr>
                <w:color w:val="auto"/>
                <w:sz w:val="20"/>
                <w:szCs w:val="20"/>
              </w:rPr>
              <w:t xml:space="preserve"> website</w:t>
            </w:r>
            <w:r w:rsidRPr="00871B34">
              <w:rPr>
                <w:sz w:val="20"/>
                <w:szCs w:val="20"/>
              </w:rPr>
              <w:t xml:space="preserve">. </w:t>
            </w:r>
          </w:p>
        </w:tc>
        <w:tc>
          <w:tcPr>
            <w:tcW w:w="4314" w:type="dxa"/>
          </w:tcPr>
          <w:p w14:paraId="3E4C5AAC" w14:textId="77777777" w:rsidR="00885A10" w:rsidRPr="00871B34" w:rsidRDefault="00885A10" w:rsidP="00871B34">
            <w:pPr>
              <w:pStyle w:val="DPCtabletext"/>
              <w:rPr>
                <w:sz w:val="20"/>
                <w:szCs w:val="20"/>
              </w:rPr>
            </w:pPr>
            <w:r w:rsidRPr="00871B34">
              <w:rPr>
                <w:sz w:val="20"/>
                <w:szCs w:val="20"/>
              </w:rPr>
              <w:t>It is important to consider what the purpose is for undertaking a salvage excavation, and what research questions are going to be asked.</w:t>
            </w:r>
          </w:p>
          <w:p w14:paraId="123F3B19" w14:textId="77777777" w:rsidR="00885A10" w:rsidRPr="00871B34" w:rsidRDefault="00885A10" w:rsidP="00871B34">
            <w:pPr>
              <w:pStyle w:val="DPCtabletext"/>
              <w:rPr>
                <w:sz w:val="20"/>
                <w:szCs w:val="20"/>
              </w:rPr>
            </w:pPr>
            <w:r w:rsidRPr="00871B34">
              <w:rPr>
                <w:sz w:val="20"/>
                <w:szCs w:val="20"/>
              </w:rPr>
              <w:t>Consider including a plan</w:t>
            </w:r>
            <w:r w:rsidR="00C53D29">
              <w:rPr>
                <w:sz w:val="20"/>
                <w:szCs w:val="20"/>
              </w:rPr>
              <w:t xml:space="preserve"> or </w:t>
            </w:r>
            <w:r w:rsidRPr="00871B34">
              <w:rPr>
                <w:sz w:val="20"/>
                <w:szCs w:val="20"/>
              </w:rPr>
              <w:t>map to clearly define the area where salvage will occur.</w:t>
            </w:r>
          </w:p>
          <w:p w14:paraId="1ECAF3EB" w14:textId="77777777" w:rsidR="00885A10" w:rsidRPr="00871B34" w:rsidRDefault="00885A10" w:rsidP="00871B34">
            <w:pPr>
              <w:pStyle w:val="DPCtabletext"/>
              <w:rPr>
                <w:sz w:val="20"/>
                <w:szCs w:val="20"/>
              </w:rPr>
            </w:pPr>
            <w:r w:rsidRPr="00871B34">
              <w:rPr>
                <w:sz w:val="20"/>
                <w:szCs w:val="20"/>
              </w:rPr>
              <w:t>The timeframe for undertaking the salvage must be clearly stated and reporting of commencement and the results must be included in the requirements.</w:t>
            </w:r>
          </w:p>
          <w:p w14:paraId="6AFC3CEF" w14:textId="77777777" w:rsidR="00885A10" w:rsidRPr="00871B34" w:rsidRDefault="00885A10" w:rsidP="00871B34">
            <w:pPr>
              <w:pStyle w:val="DPCtabletext"/>
              <w:rPr>
                <w:sz w:val="20"/>
                <w:szCs w:val="20"/>
              </w:rPr>
            </w:pPr>
            <w:r w:rsidRPr="00871B34">
              <w:rPr>
                <w:sz w:val="20"/>
                <w:szCs w:val="20"/>
              </w:rPr>
              <w:t>The cost of undertaking the salvage and subsequent analysis of the finds should be considered and reflected in the condition.</w:t>
            </w:r>
          </w:p>
          <w:p w14:paraId="69BA905D" w14:textId="77777777" w:rsidR="00885A10" w:rsidRPr="00871B34" w:rsidRDefault="00885A10" w:rsidP="00871B34">
            <w:pPr>
              <w:pStyle w:val="DPCtabletext"/>
              <w:rPr>
                <w:sz w:val="20"/>
                <w:szCs w:val="20"/>
              </w:rPr>
            </w:pPr>
            <w:r w:rsidRPr="00871B34">
              <w:rPr>
                <w:sz w:val="20"/>
                <w:szCs w:val="20"/>
              </w:rPr>
              <w:t>Consider including a formal process for any time extensions if necessary.</w:t>
            </w:r>
          </w:p>
        </w:tc>
      </w:tr>
      <w:tr w:rsidR="00885A10" w:rsidRPr="00871B34" w14:paraId="28077028" w14:textId="77777777" w:rsidTr="00BB1969">
        <w:trPr>
          <w:cantSplit/>
          <w:tblHeader/>
        </w:trPr>
        <w:tc>
          <w:tcPr>
            <w:tcW w:w="1818" w:type="dxa"/>
          </w:tcPr>
          <w:p w14:paraId="1E0ADA97" w14:textId="77777777" w:rsidR="00885A10" w:rsidRPr="00FD7F14" w:rsidRDefault="00885A10" w:rsidP="002E7AE2">
            <w:pPr>
              <w:pStyle w:val="DPCtablecolhead"/>
            </w:pPr>
            <w:r>
              <w:t>Reports</w:t>
            </w:r>
          </w:p>
        </w:tc>
        <w:tc>
          <w:tcPr>
            <w:tcW w:w="3260" w:type="dxa"/>
          </w:tcPr>
          <w:p w14:paraId="79A6C574" w14:textId="02B42AFF" w:rsidR="00885A10" w:rsidRPr="00871B34" w:rsidRDefault="00885A10" w:rsidP="00401322">
            <w:pPr>
              <w:pStyle w:val="DPCtabletext"/>
              <w:spacing w:after="120"/>
              <w:rPr>
                <w:sz w:val="20"/>
                <w:szCs w:val="20"/>
              </w:rPr>
            </w:pPr>
            <w:r w:rsidRPr="00871B34">
              <w:rPr>
                <w:sz w:val="20"/>
                <w:szCs w:val="20"/>
              </w:rPr>
              <w:t>Conditions relating to provision of reports must set out the methodology</w:t>
            </w:r>
            <w:r w:rsidR="00C53D29">
              <w:rPr>
                <w:sz w:val="20"/>
                <w:szCs w:val="20"/>
              </w:rPr>
              <w:t xml:space="preserve"> or </w:t>
            </w:r>
            <w:r w:rsidRPr="00871B34">
              <w:rPr>
                <w:sz w:val="20"/>
                <w:szCs w:val="20"/>
              </w:rPr>
              <w:t xml:space="preserve">format the report must take. This is to ensure </w:t>
            </w:r>
            <w:r w:rsidR="00326C42">
              <w:rPr>
                <w:sz w:val="20"/>
                <w:szCs w:val="20"/>
              </w:rPr>
              <w:t>the VAHR</w:t>
            </w:r>
            <w:r w:rsidRPr="00871B34">
              <w:rPr>
                <w:sz w:val="20"/>
                <w:szCs w:val="20"/>
              </w:rPr>
              <w:t xml:space="preserve"> </w:t>
            </w:r>
            <w:r w:rsidR="00326C42">
              <w:rPr>
                <w:sz w:val="20"/>
                <w:szCs w:val="20"/>
              </w:rPr>
              <w:t>receives</w:t>
            </w:r>
            <w:r w:rsidRPr="00871B34">
              <w:rPr>
                <w:sz w:val="20"/>
                <w:szCs w:val="20"/>
              </w:rPr>
              <w:t xml:space="preserve"> the information in a useful format. </w:t>
            </w:r>
          </w:p>
        </w:tc>
        <w:tc>
          <w:tcPr>
            <w:tcW w:w="4314" w:type="dxa"/>
          </w:tcPr>
          <w:p w14:paraId="0DF1FC0A" w14:textId="77777777" w:rsidR="00885A10" w:rsidRPr="00871B34" w:rsidRDefault="00885A10" w:rsidP="00871B34">
            <w:pPr>
              <w:pStyle w:val="DPCtabletext"/>
              <w:rPr>
                <w:sz w:val="20"/>
                <w:szCs w:val="20"/>
              </w:rPr>
            </w:pPr>
            <w:r w:rsidRPr="00871B34">
              <w:rPr>
                <w:sz w:val="20"/>
                <w:szCs w:val="20"/>
              </w:rPr>
              <w:t>Consider including a requirement for lodgement of the report in a timely manner</w:t>
            </w:r>
            <w:r w:rsidR="00326C42">
              <w:rPr>
                <w:sz w:val="20"/>
                <w:szCs w:val="20"/>
              </w:rPr>
              <w:t xml:space="preserve">, </w:t>
            </w:r>
          </w:p>
          <w:p w14:paraId="175EB9B7" w14:textId="77777777" w:rsidR="00885A10" w:rsidRPr="00871B34" w:rsidRDefault="00885A10" w:rsidP="00871B34">
            <w:pPr>
              <w:pStyle w:val="DPCtabletext"/>
              <w:rPr>
                <w:sz w:val="20"/>
                <w:szCs w:val="20"/>
              </w:rPr>
            </w:pPr>
            <w:r w:rsidRPr="00871B34">
              <w:rPr>
                <w:sz w:val="20"/>
                <w:szCs w:val="20"/>
              </w:rPr>
              <w:t xml:space="preserve">It is </w:t>
            </w:r>
            <w:r w:rsidR="00326C42">
              <w:rPr>
                <w:sz w:val="20"/>
                <w:szCs w:val="20"/>
              </w:rPr>
              <w:t>i</w:t>
            </w:r>
            <w:r w:rsidRPr="00871B34">
              <w:rPr>
                <w:sz w:val="20"/>
                <w:szCs w:val="20"/>
              </w:rPr>
              <w:t>mportant to include an anchoring point in time for provision</w:t>
            </w:r>
            <w:r w:rsidR="00C53D29">
              <w:rPr>
                <w:sz w:val="20"/>
                <w:szCs w:val="20"/>
              </w:rPr>
              <w:t xml:space="preserve"> or </w:t>
            </w:r>
            <w:r w:rsidRPr="00871B34">
              <w:rPr>
                <w:sz w:val="20"/>
                <w:szCs w:val="20"/>
              </w:rPr>
              <w:t>lodgement of reports.</w:t>
            </w:r>
          </w:p>
        </w:tc>
      </w:tr>
      <w:tr w:rsidR="00885A10" w:rsidRPr="00871B34" w14:paraId="0C7BF398" w14:textId="77777777" w:rsidTr="00BB1969">
        <w:trPr>
          <w:cantSplit/>
          <w:tblHeader/>
        </w:trPr>
        <w:tc>
          <w:tcPr>
            <w:tcW w:w="1818" w:type="dxa"/>
          </w:tcPr>
          <w:p w14:paraId="40667DBB" w14:textId="77777777" w:rsidR="00885A10" w:rsidRPr="00FD7F14" w:rsidRDefault="00885A10" w:rsidP="002E7AE2">
            <w:pPr>
              <w:pStyle w:val="DPCtablecolhead"/>
            </w:pPr>
            <w:r w:rsidRPr="00FD7F14">
              <w:lastRenderedPageBreak/>
              <w:t>Open space</w:t>
            </w:r>
            <w:r w:rsidR="00C53D29">
              <w:t xml:space="preserve"> or</w:t>
            </w:r>
            <w:r w:rsidRPr="00FD7F14">
              <w:t xml:space="preserve"> areas for preservation</w:t>
            </w:r>
          </w:p>
          <w:p w14:paraId="36F2488C" w14:textId="77777777" w:rsidR="00885A10" w:rsidRPr="00FD7F14" w:rsidRDefault="00885A10" w:rsidP="00910D9A">
            <w:pPr>
              <w:pStyle w:val="DPCbody"/>
              <w:rPr>
                <w:b/>
              </w:rPr>
            </w:pPr>
          </w:p>
        </w:tc>
        <w:tc>
          <w:tcPr>
            <w:tcW w:w="3260" w:type="dxa"/>
          </w:tcPr>
          <w:p w14:paraId="07D605FE" w14:textId="1C697FF4" w:rsidR="00885A10" w:rsidRPr="00871B34" w:rsidRDefault="00885A10" w:rsidP="00401322">
            <w:pPr>
              <w:pStyle w:val="DPCtabletext"/>
              <w:spacing w:after="120"/>
              <w:rPr>
                <w:sz w:val="20"/>
                <w:szCs w:val="20"/>
              </w:rPr>
            </w:pPr>
            <w:r w:rsidRPr="00871B34">
              <w:rPr>
                <w:sz w:val="20"/>
                <w:szCs w:val="20"/>
              </w:rPr>
              <w:t>Areas identified for preservation, allowing specified low-impact activities or activities under specific controls, must be practical and able to be implemented. These areas are often managed by third parties not present during the development of the CHMP. It is recommended to have discussion with ongoing land owners and/or managers regarding future use and to consider these future uses when writing management conditions for these spaces</w:t>
            </w:r>
            <w:r w:rsidR="00C53D29">
              <w:rPr>
                <w:sz w:val="20"/>
                <w:szCs w:val="20"/>
              </w:rPr>
              <w:t xml:space="preserve"> or </w:t>
            </w:r>
            <w:r w:rsidRPr="00871B34">
              <w:rPr>
                <w:sz w:val="20"/>
                <w:szCs w:val="20"/>
              </w:rPr>
              <w:t>areas.</w:t>
            </w:r>
            <w:r w:rsidR="0062750A">
              <w:rPr>
                <w:sz w:val="20"/>
                <w:szCs w:val="20"/>
              </w:rPr>
              <w:t xml:space="preserve"> It must be clear that harm to an Aboriginal Place cannot occur without statutory authority.</w:t>
            </w:r>
          </w:p>
        </w:tc>
        <w:tc>
          <w:tcPr>
            <w:tcW w:w="4314" w:type="dxa"/>
          </w:tcPr>
          <w:p w14:paraId="38B0A0AA" w14:textId="77777777" w:rsidR="00885A10" w:rsidRPr="00871B34" w:rsidRDefault="00885A10" w:rsidP="00871B34">
            <w:pPr>
              <w:pStyle w:val="DPCtabletext"/>
              <w:rPr>
                <w:sz w:val="20"/>
                <w:szCs w:val="20"/>
              </w:rPr>
            </w:pPr>
            <w:r w:rsidRPr="00871B34">
              <w:rPr>
                <w:sz w:val="20"/>
                <w:szCs w:val="20"/>
              </w:rPr>
              <w:t xml:space="preserve">It is important to consider how practical the conditions imposed upon an area will be to manage. These conditions will be requirements for future land managers, therefore they must be able to comply with them. </w:t>
            </w:r>
          </w:p>
          <w:p w14:paraId="6B1066DB" w14:textId="77777777" w:rsidR="00885A10" w:rsidRPr="00871B34" w:rsidRDefault="00885A10" w:rsidP="00871B34">
            <w:pPr>
              <w:pStyle w:val="DPCtabletext"/>
              <w:rPr>
                <w:sz w:val="20"/>
                <w:szCs w:val="20"/>
              </w:rPr>
            </w:pPr>
            <w:r w:rsidRPr="00871B34">
              <w:rPr>
                <w:sz w:val="20"/>
                <w:szCs w:val="20"/>
              </w:rPr>
              <w:t>Do the open space management conditions allow for general maintenance activities required to manage a public reserve to be undertaken?</w:t>
            </w:r>
          </w:p>
          <w:p w14:paraId="6F46DC3D" w14:textId="77777777" w:rsidR="00885A10" w:rsidRPr="00871B34" w:rsidRDefault="00885A10" w:rsidP="00871B34">
            <w:pPr>
              <w:pStyle w:val="DPCtabletext"/>
              <w:rPr>
                <w:sz w:val="20"/>
                <w:szCs w:val="20"/>
              </w:rPr>
            </w:pPr>
            <w:r w:rsidRPr="00871B34">
              <w:rPr>
                <w:sz w:val="20"/>
                <w:szCs w:val="20"/>
              </w:rPr>
              <w:t xml:space="preserve">Will the land manager want to plant trees in the open space area, or are there restrictions on the depth of impact and the methods employed for planting? </w:t>
            </w:r>
          </w:p>
        </w:tc>
      </w:tr>
      <w:tr w:rsidR="00885A10" w:rsidRPr="00871B34" w14:paraId="6DD59932" w14:textId="77777777" w:rsidTr="00BB1969">
        <w:trPr>
          <w:cantSplit/>
          <w:tblHeader/>
        </w:trPr>
        <w:tc>
          <w:tcPr>
            <w:tcW w:w="1818" w:type="dxa"/>
          </w:tcPr>
          <w:p w14:paraId="0A3CC332" w14:textId="77777777" w:rsidR="00885A10" w:rsidRPr="00FD7F14" w:rsidRDefault="00885A10" w:rsidP="002E7AE2">
            <w:pPr>
              <w:pStyle w:val="DPCtablecolhead"/>
            </w:pPr>
            <w:r w:rsidRPr="00FD7F14">
              <w:t xml:space="preserve">Buffer zones- permitted activities and size (terms </w:t>
            </w:r>
            <w:r>
              <w:t>such as</w:t>
            </w:r>
            <w:r w:rsidRPr="00FD7F14">
              <w:t xml:space="preserve"> ‘no go’ zone or restricted access)</w:t>
            </w:r>
          </w:p>
          <w:p w14:paraId="581918C0" w14:textId="77777777" w:rsidR="00885A10" w:rsidRPr="00FD7F14" w:rsidRDefault="00885A10" w:rsidP="00910D9A">
            <w:pPr>
              <w:pStyle w:val="DPCbody"/>
              <w:rPr>
                <w:b/>
              </w:rPr>
            </w:pPr>
          </w:p>
        </w:tc>
        <w:tc>
          <w:tcPr>
            <w:tcW w:w="3260" w:type="dxa"/>
          </w:tcPr>
          <w:p w14:paraId="55D75172" w14:textId="77777777" w:rsidR="00885A10" w:rsidRPr="00871B34" w:rsidRDefault="00885A10" w:rsidP="00871B34">
            <w:pPr>
              <w:pStyle w:val="DPCtabletext"/>
              <w:rPr>
                <w:sz w:val="20"/>
                <w:szCs w:val="20"/>
              </w:rPr>
            </w:pPr>
            <w:r w:rsidRPr="00871B34">
              <w:rPr>
                <w:sz w:val="20"/>
                <w:szCs w:val="20"/>
              </w:rPr>
              <w:t xml:space="preserve">If areas are identified for specific levels of impact </w:t>
            </w:r>
            <w:r w:rsidR="00BE0257">
              <w:rPr>
                <w:sz w:val="20"/>
                <w:szCs w:val="20"/>
              </w:rPr>
              <w:t>or</w:t>
            </w:r>
            <w:r w:rsidRPr="00871B34">
              <w:rPr>
                <w:sz w:val="20"/>
                <w:szCs w:val="20"/>
              </w:rPr>
              <w:t xml:space="preserve"> activities, the conditions must clearly state what is permitted and specify where it is permitted (refer to Fencing above). </w:t>
            </w:r>
          </w:p>
          <w:p w14:paraId="405C5822" w14:textId="77777777" w:rsidR="00885A10" w:rsidRPr="00871B34" w:rsidRDefault="00885A10" w:rsidP="00871B34">
            <w:pPr>
              <w:pStyle w:val="DPCtabletext"/>
              <w:rPr>
                <w:sz w:val="20"/>
                <w:szCs w:val="20"/>
              </w:rPr>
            </w:pPr>
            <w:r w:rsidRPr="00871B34">
              <w:rPr>
                <w:sz w:val="20"/>
                <w:szCs w:val="20"/>
              </w:rPr>
              <w:t xml:space="preserve">Signage on fencing of buffer zones should be clear from </w:t>
            </w:r>
            <w:r w:rsidR="00FF0BDF">
              <w:rPr>
                <w:sz w:val="20"/>
                <w:szCs w:val="20"/>
              </w:rPr>
              <w:t>the outside</w:t>
            </w:r>
            <w:r w:rsidRPr="00871B34">
              <w:rPr>
                <w:sz w:val="20"/>
                <w:szCs w:val="20"/>
              </w:rPr>
              <w:t>.</w:t>
            </w:r>
          </w:p>
          <w:p w14:paraId="76D338EB" w14:textId="59E46080" w:rsidR="00885A10" w:rsidRPr="00871B34" w:rsidRDefault="00885A10" w:rsidP="00401322">
            <w:pPr>
              <w:pStyle w:val="DPCtabletext"/>
              <w:spacing w:after="120"/>
              <w:rPr>
                <w:sz w:val="20"/>
                <w:szCs w:val="20"/>
              </w:rPr>
            </w:pPr>
            <w:r w:rsidRPr="00871B34">
              <w:rPr>
                <w:sz w:val="20"/>
                <w:szCs w:val="20"/>
              </w:rPr>
              <w:t>It is essential to refer to a map showing these areas.</w:t>
            </w:r>
          </w:p>
        </w:tc>
        <w:tc>
          <w:tcPr>
            <w:tcW w:w="4314" w:type="dxa"/>
          </w:tcPr>
          <w:p w14:paraId="203B95B8" w14:textId="77777777" w:rsidR="00885A10" w:rsidRPr="00871B34" w:rsidRDefault="00885A10" w:rsidP="00871B34">
            <w:pPr>
              <w:pStyle w:val="DPCtabletext"/>
              <w:rPr>
                <w:sz w:val="20"/>
                <w:szCs w:val="20"/>
              </w:rPr>
            </w:pPr>
            <w:r w:rsidRPr="00871B34">
              <w:rPr>
                <w:sz w:val="20"/>
                <w:szCs w:val="20"/>
              </w:rPr>
              <w:t>Consider specifying the size, quality and number of signs.</w:t>
            </w:r>
          </w:p>
          <w:p w14:paraId="28EB818C" w14:textId="77777777" w:rsidR="00885A10" w:rsidRPr="00871B34" w:rsidRDefault="00885A10" w:rsidP="00871B34">
            <w:pPr>
              <w:pStyle w:val="DPCtabletext"/>
              <w:rPr>
                <w:sz w:val="20"/>
                <w:szCs w:val="20"/>
              </w:rPr>
            </w:pPr>
            <w:r w:rsidRPr="00871B34">
              <w:rPr>
                <w:sz w:val="20"/>
                <w:szCs w:val="20"/>
              </w:rPr>
              <w:t>See signage considerations in “fencing” and open space sections, above.</w:t>
            </w:r>
          </w:p>
        </w:tc>
      </w:tr>
      <w:tr w:rsidR="00885A10" w:rsidRPr="00871B34" w14:paraId="2004C644" w14:textId="77777777" w:rsidTr="00BB1969">
        <w:trPr>
          <w:cantSplit/>
          <w:tblHeader/>
        </w:trPr>
        <w:tc>
          <w:tcPr>
            <w:tcW w:w="1818" w:type="dxa"/>
          </w:tcPr>
          <w:p w14:paraId="3662FBFD" w14:textId="77777777" w:rsidR="00885A10" w:rsidRPr="00FD7F14" w:rsidRDefault="00885A10" w:rsidP="002E7AE2">
            <w:pPr>
              <w:pStyle w:val="DPCtablecolhead"/>
            </w:pPr>
            <w:r w:rsidRPr="00FD7F14">
              <w:t>Compliance Checklist</w:t>
            </w:r>
          </w:p>
          <w:p w14:paraId="0E69F740" w14:textId="77777777" w:rsidR="00885A10" w:rsidRPr="00FD7F14" w:rsidRDefault="00885A10" w:rsidP="00910D9A">
            <w:pPr>
              <w:pStyle w:val="DPCbody"/>
              <w:rPr>
                <w:b/>
              </w:rPr>
            </w:pPr>
          </w:p>
        </w:tc>
        <w:tc>
          <w:tcPr>
            <w:tcW w:w="3260" w:type="dxa"/>
          </w:tcPr>
          <w:p w14:paraId="123EF9AA" w14:textId="2E23B62D" w:rsidR="00885A10" w:rsidRPr="00871B34" w:rsidRDefault="00885A10" w:rsidP="00871B34">
            <w:pPr>
              <w:pStyle w:val="DPCtabletext"/>
              <w:rPr>
                <w:sz w:val="20"/>
                <w:szCs w:val="20"/>
              </w:rPr>
            </w:pPr>
            <w:r w:rsidRPr="00871B34">
              <w:rPr>
                <w:sz w:val="20"/>
                <w:szCs w:val="20"/>
              </w:rPr>
              <w:t>The checklist must be consistent with the conditions and contingency plans in the document (CHMP/CHP/ACHLMA)</w:t>
            </w:r>
            <w:r w:rsidR="00401322">
              <w:rPr>
                <w:sz w:val="20"/>
                <w:szCs w:val="20"/>
              </w:rPr>
              <w:t>.</w:t>
            </w:r>
          </w:p>
          <w:p w14:paraId="3E07C584" w14:textId="4FE8BA6B" w:rsidR="00885A10" w:rsidRPr="00871B34" w:rsidRDefault="00885A10" w:rsidP="00401322">
            <w:pPr>
              <w:pStyle w:val="DPCtabletext"/>
              <w:spacing w:after="120"/>
              <w:rPr>
                <w:sz w:val="20"/>
                <w:szCs w:val="20"/>
              </w:rPr>
            </w:pPr>
            <w:r w:rsidRPr="00871B34">
              <w:rPr>
                <w:sz w:val="20"/>
                <w:szCs w:val="20"/>
              </w:rPr>
              <w:t xml:space="preserve">The checklist must not introduce new compliance requirements. These should all be specified in the conditions or contingency plans. </w:t>
            </w:r>
          </w:p>
        </w:tc>
        <w:tc>
          <w:tcPr>
            <w:tcW w:w="4314" w:type="dxa"/>
          </w:tcPr>
          <w:p w14:paraId="4B313796" w14:textId="77777777" w:rsidR="00885A10" w:rsidRPr="00871B34" w:rsidRDefault="00885A10" w:rsidP="00871B34">
            <w:pPr>
              <w:pStyle w:val="DPCtabletext"/>
              <w:rPr>
                <w:sz w:val="20"/>
                <w:szCs w:val="20"/>
              </w:rPr>
            </w:pPr>
            <w:r w:rsidRPr="00871B34">
              <w:rPr>
                <w:sz w:val="20"/>
                <w:szCs w:val="20"/>
              </w:rPr>
              <w:t>It is important to stipulate in the conditions whether compliance inspections are a requirement. See considerations in “compliance inspections” above.</w:t>
            </w:r>
          </w:p>
          <w:p w14:paraId="3A2E5F24" w14:textId="77777777" w:rsidR="00885A10" w:rsidRPr="00871B34" w:rsidRDefault="00885A10" w:rsidP="00871B34">
            <w:pPr>
              <w:pStyle w:val="DPCtabletext"/>
              <w:rPr>
                <w:sz w:val="20"/>
                <w:szCs w:val="20"/>
              </w:rPr>
            </w:pPr>
            <w:r w:rsidRPr="00871B34">
              <w:rPr>
                <w:sz w:val="20"/>
                <w:szCs w:val="20"/>
              </w:rPr>
              <w:t>Consider using photos to demonstrate compliance with conditions.</w:t>
            </w:r>
          </w:p>
        </w:tc>
      </w:tr>
    </w:tbl>
    <w:p w14:paraId="7236DE8A" w14:textId="77777777" w:rsidR="00365730" w:rsidRDefault="00365730">
      <w:pPr>
        <w:rPr>
          <w:rFonts w:asciiTheme="majorHAnsi" w:hAnsiTheme="majorHAnsi"/>
          <w:b/>
          <w:color w:val="000000" w:themeColor="text1"/>
          <w:sz w:val="22"/>
          <w:szCs w:val="22"/>
        </w:rPr>
      </w:pPr>
      <w:r>
        <w:br w:type="page"/>
      </w:r>
    </w:p>
    <w:p w14:paraId="3E044B0B" w14:textId="77777777" w:rsidR="00987757" w:rsidRDefault="00987757" w:rsidP="004527B1">
      <w:pPr>
        <w:pStyle w:val="Heading1"/>
        <w:spacing w:after="480"/>
      </w:pPr>
      <w:bookmarkStart w:id="15" w:name="_Toc10450670"/>
      <w:bookmarkStart w:id="16" w:name="_Toc17445306"/>
      <w:r>
        <w:lastRenderedPageBreak/>
        <w:t>Appendix 1: Avoiding Ambiguity</w:t>
      </w:r>
      <w:bookmarkEnd w:id="15"/>
      <w:bookmarkEnd w:id="16"/>
    </w:p>
    <w:p w14:paraId="45BFC906" w14:textId="77777777" w:rsidR="00C009F7" w:rsidRPr="00C009F7" w:rsidRDefault="00C009F7" w:rsidP="00C009F7">
      <w:pPr>
        <w:pStyle w:val="DPCtablecaption"/>
      </w:pPr>
      <w:bookmarkStart w:id="17" w:name="_Toc15644186"/>
      <w:r>
        <w:t>Table 3: Common causes of ambiguity</w:t>
      </w:r>
      <w:bookmarkEnd w:id="17"/>
    </w:p>
    <w:tbl>
      <w:tblPr>
        <w:tblStyle w:val="TableGrid"/>
        <w:tblW w:w="0" w:type="auto"/>
        <w:tblLook w:val="04A0" w:firstRow="1" w:lastRow="0" w:firstColumn="1" w:lastColumn="0" w:noHBand="0" w:noVBand="1"/>
      </w:tblPr>
      <w:tblGrid>
        <w:gridCol w:w="1742"/>
        <w:gridCol w:w="4770"/>
        <w:gridCol w:w="3234"/>
      </w:tblGrid>
      <w:tr w:rsidR="00987757" w:rsidRPr="003014D8" w14:paraId="41CC5466" w14:textId="77777777" w:rsidTr="00987757">
        <w:trPr>
          <w:trHeight w:val="20"/>
          <w:tblHeader/>
        </w:trPr>
        <w:tc>
          <w:tcPr>
            <w:tcW w:w="1951" w:type="dxa"/>
            <w:shd w:val="clear" w:color="auto" w:fill="auto"/>
          </w:tcPr>
          <w:p w14:paraId="698FD7D3" w14:textId="77777777" w:rsidR="00C53D29" w:rsidRDefault="00987757" w:rsidP="00987757">
            <w:pPr>
              <w:pStyle w:val="DPCtablecolhead"/>
            </w:pPr>
            <w:r w:rsidRPr="003014D8">
              <w:t>WORDS</w:t>
            </w:r>
            <w:r w:rsidR="00C53D29">
              <w:t xml:space="preserve"> OR</w:t>
            </w:r>
          </w:p>
          <w:p w14:paraId="4E57A207" w14:textId="77777777" w:rsidR="00987757" w:rsidRPr="003014D8" w:rsidRDefault="00987757" w:rsidP="00987757">
            <w:pPr>
              <w:pStyle w:val="DPCtablecolhead"/>
            </w:pPr>
            <w:r w:rsidRPr="003014D8">
              <w:t xml:space="preserve">PHRASES </w:t>
            </w:r>
          </w:p>
        </w:tc>
        <w:tc>
          <w:tcPr>
            <w:tcW w:w="7371" w:type="dxa"/>
            <w:shd w:val="clear" w:color="auto" w:fill="auto"/>
          </w:tcPr>
          <w:p w14:paraId="12EFC15C" w14:textId="77777777" w:rsidR="00987757" w:rsidRPr="003014D8" w:rsidRDefault="00987757" w:rsidP="00987757">
            <w:pPr>
              <w:pStyle w:val="DPCtablecolhead"/>
            </w:pPr>
            <w:r w:rsidRPr="003014D8">
              <w:t>REASON TO AVOID</w:t>
            </w:r>
            <w:r w:rsidR="00C53D29">
              <w:t xml:space="preserve"> OR</w:t>
            </w:r>
            <w:r w:rsidRPr="003014D8">
              <w:t xml:space="preserve"> CONSIDER CAREFULLY  </w:t>
            </w:r>
          </w:p>
        </w:tc>
        <w:tc>
          <w:tcPr>
            <w:tcW w:w="4852" w:type="dxa"/>
            <w:shd w:val="clear" w:color="auto" w:fill="auto"/>
          </w:tcPr>
          <w:p w14:paraId="12D99F98" w14:textId="77777777" w:rsidR="00987757" w:rsidRPr="003014D8" w:rsidRDefault="00987757" w:rsidP="00987757">
            <w:pPr>
              <w:pStyle w:val="DPCtablecolhead"/>
            </w:pPr>
            <w:r w:rsidRPr="003014D8">
              <w:t>ALTERNATIVES</w:t>
            </w:r>
            <w:r w:rsidR="00C53D29">
              <w:t xml:space="preserve"> OR </w:t>
            </w:r>
            <w:r w:rsidRPr="003014D8">
              <w:t>COURSE OF ACTION</w:t>
            </w:r>
          </w:p>
        </w:tc>
      </w:tr>
      <w:tr w:rsidR="00987757" w:rsidRPr="003014D8" w14:paraId="7D996C1C" w14:textId="77777777" w:rsidTr="00910D9A">
        <w:trPr>
          <w:trHeight w:val="20"/>
        </w:trPr>
        <w:tc>
          <w:tcPr>
            <w:tcW w:w="1951" w:type="dxa"/>
          </w:tcPr>
          <w:p w14:paraId="56CEA026" w14:textId="77777777" w:rsidR="00987757" w:rsidRPr="003014D8" w:rsidRDefault="00987757" w:rsidP="009625DD">
            <w:pPr>
              <w:pStyle w:val="DPCtablecolhead"/>
            </w:pPr>
            <w:r w:rsidRPr="003014D8">
              <w:t xml:space="preserve"> ‘And’/‘Or’  </w:t>
            </w:r>
          </w:p>
          <w:p w14:paraId="4FE2BC80" w14:textId="77777777" w:rsidR="00987757" w:rsidRPr="003014D8" w:rsidRDefault="00987757" w:rsidP="009625DD">
            <w:pPr>
              <w:pStyle w:val="DPCtablecolhead"/>
            </w:pPr>
          </w:p>
        </w:tc>
        <w:tc>
          <w:tcPr>
            <w:tcW w:w="7371" w:type="dxa"/>
          </w:tcPr>
          <w:p w14:paraId="48666D84" w14:textId="77777777" w:rsidR="00987757" w:rsidRPr="003014D8" w:rsidRDefault="00987757" w:rsidP="009625DD">
            <w:pPr>
              <w:pStyle w:val="DPCtablebullet"/>
            </w:pPr>
            <w:r w:rsidRPr="003014D8">
              <w:t xml:space="preserve">Using </w:t>
            </w:r>
            <w:r w:rsidRPr="003014D8">
              <w:rPr>
                <w:b/>
              </w:rPr>
              <w:t>‘or’</w:t>
            </w:r>
            <w:r w:rsidRPr="003014D8">
              <w:t xml:space="preserve"> provides for an option. </w:t>
            </w:r>
          </w:p>
          <w:p w14:paraId="1C8433D4" w14:textId="77777777" w:rsidR="00987757" w:rsidRPr="003014D8" w:rsidRDefault="00987757" w:rsidP="009625DD">
            <w:pPr>
              <w:pStyle w:val="DPCtablebullet"/>
            </w:pPr>
            <w:r w:rsidRPr="003014D8">
              <w:t xml:space="preserve">Using </w:t>
            </w:r>
            <w:r w:rsidRPr="003014D8">
              <w:rPr>
                <w:b/>
              </w:rPr>
              <w:t>‘and’</w:t>
            </w:r>
            <w:r w:rsidRPr="003014D8">
              <w:t xml:space="preserve"> means both things listed must occur. </w:t>
            </w:r>
          </w:p>
          <w:p w14:paraId="16C4FB73" w14:textId="77777777" w:rsidR="00987757" w:rsidRPr="003014D8" w:rsidRDefault="00987757" w:rsidP="009625DD">
            <w:pPr>
              <w:pStyle w:val="DPCtabletext"/>
            </w:pPr>
            <w:r w:rsidRPr="003014D8">
              <w:t xml:space="preserve">For example: </w:t>
            </w:r>
          </w:p>
          <w:p w14:paraId="1DEF1D6E" w14:textId="77777777" w:rsidR="00987757" w:rsidRPr="00871B34" w:rsidRDefault="00987757" w:rsidP="004527B1">
            <w:pPr>
              <w:pStyle w:val="DPCnumberlowerromanindent"/>
              <w:spacing w:line="240" w:lineRule="atLeast"/>
              <w:rPr>
                <w:sz w:val="20"/>
              </w:rPr>
            </w:pPr>
            <w:r w:rsidRPr="00871B34">
              <w:rPr>
                <w:sz w:val="20"/>
              </w:rPr>
              <w:t xml:space="preserve">Fencing </w:t>
            </w:r>
            <w:r w:rsidRPr="00871B34">
              <w:rPr>
                <w:b/>
                <w:sz w:val="20"/>
              </w:rPr>
              <w:t>and</w:t>
            </w:r>
            <w:r w:rsidRPr="00871B34">
              <w:rPr>
                <w:sz w:val="20"/>
              </w:rPr>
              <w:t xml:space="preserve"> visible signage must be erected around all registered Aboriginal places within the activity area.</w:t>
            </w:r>
          </w:p>
          <w:p w14:paraId="7948D6B4" w14:textId="77777777" w:rsidR="00987757" w:rsidRPr="003014D8" w:rsidRDefault="00987757" w:rsidP="004527B1">
            <w:pPr>
              <w:pStyle w:val="DPCtabletext"/>
              <w:ind w:left="397"/>
            </w:pPr>
            <w:r>
              <w:t>v</w:t>
            </w:r>
            <w:r w:rsidRPr="003014D8">
              <w:t>s</w:t>
            </w:r>
            <w:r>
              <w:t xml:space="preserve">. </w:t>
            </w:r>
            <w:r>
              <w:sym w:font="Wingdings" w:char="F0E0"/>
            </w:r>
            <w:r>
              <w:t xml:space="preserve"> </w:t>
            </w:r>
          </w:p>
          <w:p w14:paraId="7A61BE1C" w14:textId="77777777" w:rsidR="00987757" w:rsidRPr="00871B34" w:rsidRDefault="00987757" w:rsidP="004527B1">
            <w:pPr>
              <w:pStyle w:val="DPCnumberlowerromanindent"/>
              <w:spacing w:line="240" w:lineRule="atLeast"/>
              <w:rPr>
                <w:sz w:val="20"/>
              </w:rPr>
            </w:pPr>
            <w:r w:rsidRPr="00871B34">
              <w:rPr>
                <w:sz w:val="20"/>
              </w:rPr>
              <w:t xml:space="preserve">Fencing </w:t>
            </w:r>
            <w:r w:rsidRPr="00871B34">
              <w:rPr>
                <w:b/>
                <w:sz w:val="20"/>
              </w:rPr>
              <w:t>or</w:t>
            </w:r>
            <w:r w:rsidRPr="00871B34">
              <w:rPr>
                <w:sz w:val="20"/>
              </w:rPr>
              <w:t xml:space="preserve"> visible signage must be erected around all registered Aboriginal places within the activity area.</w:t>
            </w:r>
          </w:p>
          <w:p w14:paraId="12C728CB" w14:textId="77777777" w:rsidR="00987757" w:rsidRPr="003014D8" w:rsidRDefault="00987757" w:rsidP="009625DD">
            <w:pPr>
              <w:pStyle w:val="DPCtabletext"/>
            </w:pPr>
            <w:r w:rsidRPr="003014D8">
              <w:t xml:space="preserve">The first </w:t>
            </w:r>
            <w:r>
              <w:t>example</w:t>
            </w:r>
            <w:r w:rsidRPr="003014D8">
              <w:t xml:space="preserve"> is </w:t>
            </w:r>
            <w:r>
              <w:t xml:space="preserve">a </w:t>
            </w:r>
            <w:r w:rsidRPr="003014D8">
              <w:t xml:space="preserve">directive and </w:t>
            </w:r>
            <w:r w:rsidRPr="003014D8">
              <w:rPr>
                <w:b/>
              </w:rPr>
              <w:t>must</w:t>
            </w:r>
            <w:r w:rsidRPr="003014D8">
              <w:t xml:space="preserve"> occur for compliance.</w:t>
            </w:r>
          </w:p>
          <w:p w14:paraId="7F4B86DC" w14:textId="0AF9E5C1" w:rsidR="00871B34" w:rsidRPr="003014D8" w:rsidRDefault="00987757" w:rsidP="00401322">
            <w:pPr>
              <w:pStyle w:val="DPCtabletext"/>
              <w:spacing w:after="120"/>
            </w:pPr>
            <w:r w:rsidRPr="003014D8">
              <w:t xml:space="preserve">The second provides an option. </w:t>
            </w:r>
            <w:r w:rsidRPr="00DB17AE">
              <w:rPr>
                <w:u w:val="single"/>
              </w:rPr>
              <w:t>Either</w:t>
            </w:r>
            <w:r w:rsidRPr="003014D8">
              <w:t xml:space="preserve"> fencing or signage will suffice for compliance.</w:t>
            </w:r>
          </w:p>
        </w:tc>
        <w:tc>
          <w:tcPr>
            <w:tcW w:w="4852" w:type="dxa"/>
          </w:tcPr>
          <w:p w14:paraId="0F819558" w14:textId="77777777" w:rsidR="00987757" w:rsidRPr="003014D8" w:rsidRDefault="00987757" w:rsidP="009625DD">
            <w:pPr>
              <w:pStyle w:val="DPCtabletext"/>
            </w:pPr>
            <w:r w:rsidRPr="003014D8">
              <w:t xml:space="preserve">Consider your intention.  </w:t>
            </w:r>
          </w:p>
          <w:p w14:paraId="4E8BD45C" w14:textId="5E09C191" w:rsidR="00987757" w:rsidRPr="003014D8" w:rsidRDefault="00987757" w:rsidP="009625DD">
            <w:pPr>
              <w:pStyle w:val="DPCtabletext"/>
            </w:pPr>
            <w:r w:rsidRPr="003014D8">
              <w:t xml:space="preserve">Take care with using the term ‘and/or’ in lists. </w:t>
            </w:r>
          </w:p>
          <w:p w14:paraId="655EB6D8" w14:textId="77777777" w:rsidR="00987757" w:rsidRPr="003014D8" w:rsidRDefault="00987757" w:rsidP="009625DD">
            <w:pPr>
              <w:pStyle w:val="DPCtabletext"/>
            </w:pPr>
          </w:p>
        </w:tc>
      </w:tr>
      <w:tr w:rsidR="00987757" w:rsidRPr="003014D8" w14:paraId="620EF065" w14:textId="77777777" w:rsidTr="00910D9A">
        <w:trPr>
          <w:trHeight w:val="20"/>
        </w:trPr>
        <w:tc>
          <w:tcPr>
            <w:tcW w:w="1951" w:type="dxa"/>
          </w:tcPr>
          <w:p w14:paraId="01D560BE" w14:textId="77777777" w:rsidR="00987757" w:rsidRPr="003014D8" w:rsidRDefault="00987757" w:rsidP="009625DD">
            <w:pPr>
              <w:pStyle w:val="DPCtablecolhead"/>
            </w:pPr>
            <w:r w:rsidRPr="003014D8">
              <w:t>‘Which’ and ‘that’</w:t>
            </w:r>
          </w:p>
        </w:tc>
        <w:tc>
          <w:tcPr>
            <w:tcW w:w="7371" w:type="dxa"/>
          </w:tcPr>
          <w:p w14:paraId="71ED0228" w14:textId="77777777" w:rsidR="00987757" w:rsidRPr="003014D8" w:rsidRDefault="00987757" w:rsidP="009625DD">
            <w:pPr>
              <w:pStyle w:val="DPCtabletext"/>
            </w:pPr>
            <w:r w:rsidRPr="003014D8">
              <w:t xml:space="preserve">These words can change the meaning or intent of the sentence. </w:t>
            </w:r>
          </w:p>
          <w:p w14:paraId="2C78AE06" w14:textId="77777777" w:rsidR="00987757" w:rsidRPr="003014D8" w:rsidRDefault="00987757" w:rsidP="009625DD">
            <w:pPr>
              <w:pStyle w:val="DPCtabletext"/>
            </w:pPr>
            <w:r w:rsidRPr="003014D8">
              <w:t>For example, compare:</w:t>
            </w:r>
          </w:p>
          <w:p w14:paraId="2CB8DF8B" w14:textId="77777777" w:rsidR="00987757" w:rsidRPr="00871B34" w:rsidRDefault="00987757" w:rsidP="004527B1">
            <w:pPr>
              <w:pStyle w:val="DPCnumberlowerromanindent"/>
              <w:numPr>
                <w:ilvl w:val="1"/>
                <w:numId w:val="8"/>
              </w:numPr>
              <w:spacing w:line="240" w:lineRule="atLeast"/>
              <w:rPr>
                <w:sz w:val="20"/>
              </w:rPr>
            </w:pPr>
            <w:r w:rsidRPr="00871B34">
              <w:rPr>
                <w:sz w:val="20"/>
              </w:rPr>
              <w:t>Indigenous trees, which have low water requirements, must be used in landscape areas.</w:t>
            </w:r>
          </w:p>
          <w:p w14:paraId="4B649649" w14:textId="77777777" w:rsidR="00987757" w:rsidRPr="00871B34" w:rsidRDefault="00987757" w:rsidP="004527B1">
            <w:pPr>
              <w:pStyle w:val="DPCnumberlowerromanindent"/>
              <w:spacing w:line="240" w:lineRule="atLeast"/>
              <w:rPr>
                <w:sz w:val="20"/>
              </w:rPr>
            </w:pPr>
            <w:r w:rsidRPr="00871B34">
              <w:rPr>
                <w:sz w:val="20"/>
              </w:rPr>
              <w:t>Indigenous trees that have low water requirements, must be used in landscape areas.</w:t>
            </w:r>
          </w:p>
          <w:p w14:paraId="5AAEF4DE" w14:textId="01305680" w:rsidR="00871B34" w:rsidRPr="00401322" w:rsidRDefault="00987757" w:rsidP="00401322">
            <w:pPr>
              <w:pStyle w:val="DPCtabletext"/>
              <w:spacing w:after="120"/>
            </w:pPr>
            <w:r w:rsidRPr="003014D8">
              <w:t xml:space="preserve">In the first point, the “low water requirement” is a feature of the trees, as opposed to the second point where a “low water requirement” is a part of the terms </w:t>
            </w:r>
            <w:r>
              <w:t>for</w:t>
            </w:r>
            <w:r w:rsidRPr="003014D8">
              <w:t xml:space="preserve"> meeting the condition.</w:t>
            </w:r>
          </w:p>
        </w:tc>
        <w:tc>
          <w:tcPr>
            <w:tcW w:w="4852" w:type="dxa"/>
          </w:tcPr>
          <w:p w14:paraId="04F4C916" w14:textId="77777777" w:rsidR="00987757" w:rsidRPr="003014D8" w:rsidRDefault="00987757" w:rsidP="00871B34">
            <w:pPr>
              <w:pStyle w:val="DPCtabletext"/>
            </w:pPr>
            <w:r w:rsidRPr="003014D8">
              <w:t xml:space="preserve">If you intend to </w:t>
            </w:r>
            <w:r>
              <w:t>include</w:t>
            </w:r>
            <w:r w:rsidRPr="003014D8">
              <w:t xml:space="preserve"> an extra element</w:t>
            </w:r>
            <w:r w:rsidR="00C53D29">
              <w:t xml:space="preserve"> or</w:t>
            </w:r>
            <w:r w:rsidRPr="003014D8">
              <w:t xml:space="preserve"> requirement to meet the condition use: ‘that’</w:t>
            </w:r>
          </w:p>
          <w:p w14:paraId="3DD2FBB4" w14:textId="77777777" w:rsidR="00987757" w:rsidRPr="003014D8" w:rsidRDefault="00987757" w:rsidP="00871B34">
            <w:pPr>
              <w:pStyle w:val="DPCtabletext"/>
            </w:pPr>
            <w:r w:rsidRPr="003014D8">
              <w:t>If you intend to describe a feature use: ‘which’</w:t>
            </w:r>
          </w:p>
        </w:tc>
      </w:tr>
      <w:tr w:rsidR="00987757" w:rsidRPr="003014D8" w14:paraId="7278E612" w14:textId="77777777" w:rsidTr="004527B1">
        <w:trPr>
          <w:trHeight w:val="718"/>
        </w:trPr>
        <w:tc>
          <w:tcPr>
            <w:tcW w:w="1951" w:type="dxa"/>
          </w:tcPr>
          <w:p w14:paraId="722941E2" w14:textId="77777777" w:rsidR="00987757" w:rsidRPr="003014D8" w:rsidRDefault="00987757" w:rsidP="009625DD">
            <w:pPr>
              <w:pStyle w:val="DPCtablecolhead"/>
            </w:pPr>
            <w:r w:rsidRPr="003014D8">
              <w:t>‘May’ and ‘must’, ‘will’ and ‘should’</w:t>
            </w:r>
          </w:p>
        </w:tc>
        <w:tc>
          <w:tcPr>
            <w:tcW w:w="7371" w:type="dxa"/>
          </w:tcPr>
          <w:p w14:paraId="33D16A39" w14:textId="77777777" w:rsidR="00987757" w:rsidRPr="003014D8" w:rsidRDefault="00987757" w:rsidP="00871B34">
            <w:pPr>
              <w:pStyle w:val="DPCtabletext"/>
            </w:pPr>
            <w:r w:rsidRPr="003014D8">
              <w:t xml:space="preserve">These terms do not all convey an obligation. </w:t>
            </w:r>
          </w:p>
          <w:p w14:paraId="03E4CE93" w14:textId="77777777" w:rsidR="00987757" w:rsidRPr="003014D8" w:rsidRDefault="00987757" w:rsidP="00871B34">
            <w:pPr>
              <w:pStyle w:val="DPCtablebullet"/>
            </w:pPr>
            <w:r w:rsidRPr="003014D8">
              <w:rPr>
                <w:b/>
              </w:rPr>
              <w:t>‘Must’</w:t>
            </w:r>
            <w:r w:rsidRPr="003014D8">
              <w:t xml:space="preserve"> and </w:t>
            </w:r>
            <w:r w:rsidRPr="003014D8">
              <w:rPr>
                <w:b/>
              </w:rPr>
              <w:t>‘will’</w:t>
            </w:r>
            <w:r w:rsidRPr="003014D8">
              <w:t xml:space="preserve"> terms clearly convey an obligation.</w:t>
            </w:r>
          </w:p>
          <w:p w14:paraId="7BD583EA" w14:textId="77777777" w:rsidR="00987757" w:rsidRPr="003014D8" w:rsidRDefault="00987757" w:rsidP="00871B34">
            <w:pPr>
              <w:pStyle w:val="DPCtablebullet"/>
            </w:pPr>
            <w:r w:rsidRPr="003014D8">
              <w:rPr>
                <w:b/>
              </w:rPr>
              <w:t>‘May’</w:t>
            </w:r>
            <w:r w:rsidRPr="003014D8">
              <w:t xml:space="preserve"> or </w:t>
            </w:r>
            <w:r w:rsidRPr="003014D8">
              <w:rPr>
                <w:b/>
              </w:rPr>
              <w:t>‘should’</w:t>
            </w:r>
            <w:r w:rsidRPr="003014D8">
              <w:t xml:space="preserve"> implies discretional choice.</w:t>
            </w:r>
          </w:p>
          <w:p w14:paraId="49328FC9" w14:textId="77777777" w:rsidR="00987757" w:rsidRPr="003014D8" w:rsidRDefault="00987757" w:rsidP="00910D9A">
            <w:pPr>
              <w:pStyle w:val="DPCbody"/>
            </w:pPr>
          </w:p>
        </w:tc>
        <w:tc>
          <w:tcPr>
            <w:tcW w:w="4852" w:type="dxa"/>
          </w:tcPr>
          <w:p w14:paraId="33C2DB86" w14:textId="77777777" w:rsidR="00987757" w:rsidRPr="003014D8" w:rsidRDefault="00987757" w:rsidP="00871B34">
            <w:pPr>
              <w:pStyle w:val="DPCtabletext"/>
            </w:pPr>
            <w:r w:rsidRPr="003014D8">
              <w:t>‘Must’, ‘will’ and ‘shall’ can be used interchangeably with one another but cannot be used interchangeably with ‘may’ and ‘should’.</w:t>
            </w:r>
          </w:p>
          <w:p w14:paraId="556C84C9" w14:textId="77777777" w:rsidR="00987757" w:rsidRPr="003014D8" w:rsidRDefault="00987757" w:rsidP="00871B34">
            <w:pPr>
              <w:pStyle w:val="DPCtabletext"/>
            </w:pPr>
            <w:r w:rsidRPr="003014D8">
              <w:t xml:space="preserve">A question to ask when preparing conditions and </w:t>
            </w:r>
            <w:r>
              <w:t>contingency plans</w:t>
            </w:r>
            <w:r w:rsidRPr="003014D8">
              <w:t xml:space="preserve">: Is a strict obligation intended? </w:t>
            </w:r>
          </w:p>
          <w:p w14:paraId="3F2EFC72" w14:textId="77777777" w:rsidR="00987757" w:rsidRPr="003014D8" w:rsidRDefault="00987757" w:rsidP="00871B34">
            <w:pPr>
              <w:pStyle w:val="DPCtablebullet"/>
            </w:pPr>
            <w:r w:rsidRPr="003014D8">
              <w:t>If obligatory, use: ‘must’ or ‘will’</w:t>
            </w:r>
          </w:p>
          <w:p w14:paraId="33E4FADE" w14:textId="3859C2A7" w:rsidR="00987757" w:rsidRPr="003014D8" w:rsidRDefault="00987757" w:rsidP="00401322">
            <w:pPr>
              <w:pStyle w:val="DPCtablebullet"/>
              <w:spacing w:after="120"/>
            </w:pPr>
            <w:r w:rsidRPr="003014D8">
              <w:t>If discretionary, use: ‘may’ or ‘should’</w:t>
            </w:r>
          </w:p>
        </w:tc>
      </w:tr>
      <w:tr w:rsidR="00987757" w:rsidRPr="003014D8" w14:paraId="0DB020AE" w14:textId="77777777" w:rsidTr="00910D9A">
        <w:trPr>
          <w:trHeight w:val="20"/>
        </w:trPr>
        <w:tc>
          <w:tcPr>
            <w:tcW w:w="1951" w:type="dxa"/>
          </w:tcPr>
          <w:p w14:paraId="231F2F0F" w14:textId="77777777" w:rsidR="00987757" w:rsidRPr="003014D8" w:rsidRDefault="00987757" w:rsidP="009625DD">
            <w:pPr>
              <w:pStyle w:val="DPCtablecolhead"/>
            </w:pPr>
            <w:r w:rsidRPr="003014D8">
              <w:t>‘If necessary’</w:t>
            </w:r>
          </w:p>
        </w:tc>
        <w:tc>
          <w:tcPr>
            <w:tcW w:w="7371" w:type="dxa"/>
          </w:tcPr>
          <w:p w14:paraId="7E5D294A" w14:textId="77777777" w:rsidR="00987757" w:rsidRPr="003014D8" w:rsidRDefault="00987757" w:rsidP="00871B34">
            <w:pPr>
              <w:pStyle w:val="DPCtabletext"/>
            </w:pPr>
            <w:r w:rsidRPr="003014D8">
              <w:t>This phrase must be used with caution, as it is</w:t>
            </w:r>
            <w:r w:rsidR="00DF133A">
              <w:t xml:space="preserve"> subjective and</w:t>
            </w:r>
            <w:r w:rsidRPr="003014D8">
              <w:t xml:space="preserve"> not easily measured. </w:t>
            </w:r>
          </w:p>
        </w:tc>
        <w:tc>
          <w:tcPr>
            <w:tcW w:w="4852" w:type="dxa"/>
          </w:tcPr>
          <w:p w14:paraId="18E46980" w14:textId="219A4B77" w:rsidR="00871B34" w:rsidRPr="004527B1" w:rsidRDefault="00987757" w:rsidP="004527B1">
            <w:pPr>
              <w:pStyle w:val="DPCtabletext"/>
              <w:spacing w:after="120"/>
            </w:pPr>
            <w:r w:rsidRPr="003014D8">
              <w:t xml:space="preserve">Prescribe the situations or circumstances which would </w:t>
            </w:r>
            <w:r>
              <w:t xml:space="preserve">require a </w:t>
            </w:r>
            <w:r w:rsidRPr="003014D8">
              <w:t>need.</w:t>
            </w:r>
          </w:p>
        </w:tc>
      </w:tr>
      <w:tr w:rsidR="00987757" w:rsidRPr="003014D8" w14:paraId="0761A75D" w14:textId="77777777" w:rsidTr="00910D9A">
        <w:trPr>
          <w:trHeight w:val="20"/>
        </w:trPr>
        <w:tc>
          <w:tcPr>
            <w:tcW w:w="1951" w:type="dxa"/>
          </w:tcPr>
          <w:p w14:paraId="38E26A22" w14:textId="77777777" w:rsidR="00987757" w:rsidRPr="003014D8" w:rsidRDefault="00987757" w:rsidP="009625DD">
            <w:pPr>
              <w:pStyle w:val="DPCtablecolhead"/>
            </w:pPr>
            <w:r>
              <w:lastRenderedPageBreak/>
              <w:t>‘a’</w:t>
            </w:r>
          </w:p>
        </w:tc>
        <w:tc>
          <w:tcPr>
            <w:tcW w:w="7371" w:type="dxa"/>
          </w:tcPr>
          <w:p w14:paraId="610E79A9" w14:textId="77777777" w:rsidR="00987757" w:rsidRPr="003014D8" w:rsidRDefault="00987757" w:rsidP="00871B34">
            <w:pPr>
              <w:pStyle w:val="DPCtabletext"/>
            </w:pPr>
            <w:r>
              <w:t>Is read as ‘one’ (singular).</w:t>
            </w:r>
          </w:p>
        </w:tc>
        <w:tc>
          <w:tcPr>
            <w:tcW w:w="4852" w:type="dxa"/>
          </w:tcPr>
          <w:p w14:paraId="4D99265D" w14:textId="0F267A3D" w:rsidR="00871B34" w:rsidRPr="004527B1" w:rsidRDefault="00987757" w:rsidP="004527B1">
            <w:pPr>
              <w:pStyle w:val="DPCtabletext"/>
              <w:spacing w:after="120"/>
            </w:pPr>
            <w:r>
              <w:t>Ask yourself if you mean one or many, or want discretion as to numbers.</w:t>
            </w:r>
          </w:p>
        </w:tc>
      </w:tr>
      <w:tr w:rsidR="00987757" w:rsidRPr="003014D8" w14:paraId="17C59D45" w14:textId="77777777" w:rsidTr="00910D9A">
        <w:trPr>
          <w:trHeight w:val="20"/>
        </w:trPr>
        <w:tc>
          <w:tcPr>
            <w:tcW w:w="1951" w:type="dxa"/>
          </w:tcPr>
          <w:p w14:paraId="485E4BA3" w14:textId="77777777" w:rsidR="00987757" w:rsidRPr="003014D8" w:rsidRDefault="00987757" w:rsidP="009625DD">
            <w:pPr>
              <w:pStyle w:val="DPCtablecolhead"/>
            </w:pPr>
            <w:r w:rsidRPr="003014D8">
              <w:t>Lists</w:t>
            </w:r>
          </w:p>
        </w:tc>
        <w:tc>
          <w:tcPr>
            <w:tcW w:w="7371" w:type="dxa"/>
          </w:tcPr>
          <w:p w14:paraId="64889689" w14:textId="77777777" w:rsidR="00987757" w:rsidRPr="003014D8" w:rsidRDefault="00987757" w:rsidP="00871B34">
            <w:pPr>
              <w:pStyle w:val="DPCtabletext"/>
            </w:pPr>
            <w:r w:rsidRPr="003014D8">
              <w:t>It is important when listing things in a condition or contingency plan to be specific about whether the listed things are exhaustive or non-exhaustive.</w:t>
            </w:r>
          </w:p>
          <w:p w14:paraId="6703FC4E" w14:textId="77777777" w:rsidR="00987757" w:rsidRPr="004527B1" w:rsidRDefault="00987757" w:rsidP="00871B34">
            <w:pPr>
              <w:pStyle w:val="DPCtabletext"/>
              <w:rPr>
                <w:sz w:val="16"/>
                <w:szCs w:val="16"/>
              </w:rPr>
            </w:pPr>
          </w:p>
          <w:p w14:paraId="1EF323D0" w14:textId="77777777" w:rsidR="00987757" w:rsidRPr="003014D8" w:rsidRDefault="00987757" w:rsidP="00871B34">
            <w:pPr>
              <w:pStyle w:val="DPCtabletext"/>
            </w:pPr>
            <w:r w:rsidRPr="003014D8">
              <w:rPr>
                <w:b/>
              </w:rPr>
              <w:t>Exhaustive lists:</w:t>
            </w:r>
            <w:r w:rsidRPr="003014D8">
              <w:t xml:space="preserve"> are complete and allow for no further items.</w:t>
            </w:r>
          </w:p>
          <w:p w14:paraId="70B1B67B" w14:textId="77777777" w:rsidR="00987757" w:rsidRPr="003014D8" w:rsidRDefault="00987757" w:rsidP="00871B34">
            <w:pPr>
              <w:pStyle w:val="DPCtabletext"/>
            </w:pPr>
            <w:r w:rsidRPr="003014D8">
              <w:t xml:space="preserve">For example: </w:t>
            </w:r>
          </w:p>
          <w:p w14:paraId="6CB2774E" w14:textId="77777777" w:rsidR="00987757" w:rsidRPr="00871B34" w:rsidRDefault="00987757" w:rsidP="004527B1">
            <w:pPr>
              <w:pStyle w:val="DPCnumberlowerromanindent"/>
              <w:numPr>
                <w:ilvl w:val="1"/>
                <w:numId w:val="9"/>
              </w:numPr>
              <w:spacing w:line="240" w:lineRule="atLeast"/>
              <w:rPr>
                <w:sz w:val="20"/>
              </w:rPr>
            </w:pPr>
            <w:r w:rsidRPr="00871B34">
              <w:rPr>
                <w:sz w:val="20"/>
              </w:rPr>
              <w:t>This condition allows for the following activities to be undertaken in Zone A: mowing, weed spraying and planting using Hamilton planters.</w:t>
            </w:r>
          </w:p>
          <w:p w14:paraId="1597D776" w14:textId="77777777" w:rsidR="00987757" w:rsidRPr="003014D8" w:rsidRDefault="00987757" w:rsidP="00871B34">
            <w:pPr>
              <w:pStyle w:val="DPCtabletext"/>
            </w:pPr>
            <w:r w:rsidRPr="003014D8">
              <w:rPr>
                <w:b/>
              </w:rPr>
              <w:t>Non- exhaustive lists:</w:t>
            </w:r>
            <w:r w:rsidRPr="003014D8">
              <w:t xml:space="preserve"> are inclusive and will allow for further items.</w:t>
            </w:r>
          </w:p>
          <w:p w14:paraId="6F436365" w14:textId="09FB0B94" w:rsidR="00871B34" w:rsidRPr="004527B1" w:rsidRDefault="00987757" w:rsidP="004527B1">
            <w:pPr>
              <w:pStyle w:val="DPCnumberlowerromanindent"/>
              <w:spacing w:line="240" w:lineRule="atLeast"/>
            </w:pPr>
            <w:r w:rsidRPr="00871B34">
              <w:rPr>
                <w:sz w:val="20"/>
              </w:rPr>
              <w:t>This condition allows for low-impact activities to occur in zone A, such as hand weeding, planting shallow root-stock plants with Hamilton planters, and other landscaping activities that do not impact the ground surface below 100 millimetres</w:t>
            </w:r>
            <w:r w:rsidRPr="003014D8">
              <w:t>.</w:t>
            </w:r>
          </w:p>
        </w:tc>
        <w:tc>
          <w:tcPr>
            <w:tcW w:w="4852" w:type="dxa"/>
          </w:tcPr>
          <w:p w14:paraId="07491900" w14:textId="44BF9A62" w:rsidR="00987757" w:rsidRDefault="00987757" w:rsidP="00871B34">
            <w:pPr>
              <w:pStyle w:val="DPCtabletext"/>
            </w:pPr>
            <w:r w:rsidRPr="003014D8">
              <w:t xml:space="preserve">Ask yourself the following questions: </w:t>
            </w:r>
          </w:p>
          <w:p w14:paraId="0592711B" w14:textId="77777777" w:rsidR="004527B1" w:rsidRPr="003014D8" w:rsidRDefault="004527B1" w:rsidP="00871B34">
            <w:pPr>
              <w:pStyle w:val="DPCtabletext"/>
            </w:pPr>
          </w:p>
          <w:p w14:paraId="1A50B97E" w14:textId="77777777" w:rsidR="00987757" w:rsidRPr="003014D8" w:rsidRDefault="00987757" w:rsidP="00871B34">
            <w:pPr>
              <w:pStyle w:val="DPCtabletext"/>
            </w:pPr>
            <w:r w:rsidRPr="003014D8">
              <w:t>Are only the listed things the primary concern in the condition or contingency plan?</w:t>
            </w:r>
          </w:p>
          <w:p w14:paraId="25E8DBDC" w14:textId="77777777" w:rsidR="00987757" w:rsidRPr="003014D8" w:rsidRDefault="00987757" w:rsidP="00871B34">
            <w:pPr>
              <w:pStyle w:val="DPCtablebullet"/>
            </w:pPr>
            <w:r w:rsidRPr="003014D8">
              <w:t xml:space="preserve">If so, the list is </w:t>
            </w:r>
            <w:r w:rsidRPr="003014D8">
              <w:rPr>
                <w:b/>
              </w:rPr>
              <w:t>exhaustive</w:t>
            </w:r>
            <w:r w:rsidRPr="003014D8">
              <w:t>. Consider whether this meets your intention.</w:t>
            </w:r>
          </w:p>
          <w:p w14:paraId="71474C87" w14:textId="77777777" w:rsidR="00987757" w:rsidRPr="003014D8" w:rsidRDefault="00987757" w:rsidP="00910D9A">
            <w:pPr>
              <w:pStyle w:val="DPCbody"/>
            </w:pPr>
          </w:p>
          <w:p w14:paraId="574FCD6E" w14:textId="77777777" w:rsidR="00987757" w:rsidRPr="003014D8" w:rsidRDefault="00987757" w:rsidP="00871B34">
            <w:pPr>
              <w:pStyle w:val="DPCtabletext"/>
            </w:pPr>
            <w:r w:rsidRPr="003014D8">
              <w:t xml:space="preserve">Are there other things that </w:t>
            </w:r>
            <w:r>
              <w:t>could</w:t>
            </w:r>
            <w:r w:rsidRPr="003014D8">
              <w:t xml:space="preserve"> be </w:t>
            </w:r>
            <w:r>
              <w:t>included</w:t>
            </w:r>
            <w:r w:rsidRPr="003014D8">
              <w:t xml:space="preserve"> within the list that are not </w:t>
            </w:r>
            <w:r>
              <w:t xml:space="preserve">specifically </w:t>
            </w:r>
            <w:r w:rsidRPr="003014D8">
              <w:t>stated?</w:t>
            </w:r>
          </w:p>
          <w:p w14:paraId="2B88CE80" w14:textId="77777777" w:rsidR="00987757" w:rsidRPr="003014D8" w:rsidRDefault="00987757" w:rsidP="00871B34">
            <w:pPr>
              <w:pStyle w:val="DPCtablebullet"/>
            </w:pPr>
            <w:r w:rsidRPr="003014D8">
              <w:t xml:space="preserve"> If so, the list is </w:t>
            </w:r>
            <w:r w:rsidRPr="003014D8">
              <w:rPr>
                <w:b/>
              </w:rPr>
              <w:t>non-exhaustive</w:t>
            </w:r>
            <w:r w:rsidRPr="003014D8">
              <w:t>. Consider whether this meets your intention.</w:t>
            </w:r>
          </w:p>
          <w:p w14:paraId="3A66E0AA" w14:textId="77777777" w:rsidR="00987757" w:rsidRPr="003014D8" w:rsidRDefault="00987757" w:rsidP="00910D9A">
            <w:pPr>
              <w:pStyle w:val="DPCbody"/>
            </w:pPr>
          </w:p>
        </w:tc>
      </w:tr>
      <w:tr w:rsidR="00987757" w:rsidRPr="003014D8" w14:paraId="69C0D8B5" w14:textId="77777777" w:rsidTr="00910D9A">
        <w:trPr>
          <w:trHeight w:val="20"/>
        </w:trPr>
        <w:tc>
          <w:tcPr>
            <w:tcW w:w="1951" w:type="dxa"/>
          </w:tcPr>
          <w:p w14:paraId="132F2CCC" w14:textId="77777777" w:rsidR="00987757" w:rsidRPr="003014D8" w:rsidRDefault="00987757" w:rsidP="009625DD">
            <w:pPr>
              <w:pStyle w:val="DPCtablecolhead"/>
            </w:pPr>
            <w:r w:rsidRPr="003014D8">
              <w:t>Abbreviations</w:t>
            </w:r>
          </w:p>
        </w:tc>
        <w:tc>
          <w:tcPr>
            <w:tcW w:w="7371" w:type="dxa"/>
          </w:tcPr>
          <w:p w14:paraId="13D64197" w14:textId="77777777" w:rsidR="00987757" w:rsidRPr="003014D8" w:rsidRDefault="00987757" w:rsidP="00871B34">
            <w:pPr>
              <w:pStyle w:val="DPCtabletext"/>
            </w:pPr>
            <w:r w:rsidRPr="003014D8">
              <w:t xml:space="preserve">Readers may not be familiar with all of the </w:t>
            </w:r>
            <w:r>
              <w:t>acronyms or</w:t>
            </w:r>
            <w:r w:rsidRPr="003014D8">
              <w:t xml:space="preserve"> abbreviated words</w:t>
            </w:r>
            <w:r>
              <w:t xml:space="preserve"> frequently used</w:t>
            </w:r>
            <w:r w:rsidRPr="003014D8">
              <w:t xml:space="preserve"> in cultural heritage management. The conditions and contingency plans must be accessible to anyone who reads them.</w:t>
            </w:r>
          </w:p>
          <w:p w14:paraId="1D9EE92B" w14:textId="77777777" w:rsidR="00987757" w:rsidRPr="003014D8" w:rsidRDefault="00987757" w:rsidP="00871B34">
            <w:pPr>
              <w:pStyle w:val="DPCtabletext"/>
            </w:pPr>
          </w:p>
          <w:p w14:paraId="7463C9A5" w14:textId="77777777" w:rsidR="00987757" w:rsidRPr="003014D8" w:rsidRDefault="00987757" w:rsidP="00871B34">
            <w:pPr>
              <w:pStyle w:val="DPCtabletext"/>
            </w:pPr>
            <w:r w:rsidRPr="003014D8">
              <w:t>For example:</w:t>
            </w:r>
            <w:r w:rsidRPr="003014D8">
              <w:rPr>
                <w:i/>
              </w:rPr>
              <w:t xml:space="preserve"> HA, Adv, Arch</w:t>
            </w:r>
          </w:p>
        </w:tc>
        <w:tc>
          <w:tcPr>
            <w:tcW w:w="4852" w:type="dxa"/>
          </w:tcPr>
          <w:p w14:paraId="333BB388" w14:textId="77777777" w:rsidR="00987757" w:rsidRPr="003014D8" w:rsidRDefault="00987757" w:rsidP="00871B34">
            <w:pPr>
              <w:pStyle w:val="DPCtabletext"/>
            </w:pPr>
            <w:r w:rsidRPr="003014D8">
              <w:t>In the first instance, it is preferable to avoid using abbreviations in conditions and contingency plans.</w:t>
            </w:r>
          </w:p>
          <w:p w14:paraId="14633429" w14:textId="77777777" w:rsidR="00987757" w:rsidRPr="003014D8" w:rsidRDefault="00987757" w:rsidP="00871B34">
            <w:pPr>
              <w:pStyle w:val="DPCtabletext"/>
            </w:pPr>
            <w:r w:rsidRPr="003014D8">
              <w:t>If abbreviations are to be used, ensure there is consistency and accuracy of terms used, to avoid confusion.</w:t>
            </w:r>
          </w:p>
          <w:p w14:paraId="4BF74FE5" w14:textId="0EFA9F0B" w:rsidR="00871B34" w:rsidRPr="004527B1" w:rsidRDefault="00987757" w:rsidP="004527B1">
            <w:pPr>
              <w:pStyle w:val="DPCtabletext"/>
              <w:spacing w:after="120"/>
            </w:pPr>
            <w:r w:rsidRPr="003014D8">
              <w:t xml:space="preserve">Providing a list or table of abbreviations at the front of the report is a clear way to ensure all are defined and easily accessed. </w:t>
            </w:r>
          </w:p>
        </w:tc>
      </w:tr>
      <w:tr w:rsidR="00987757" w:rsidRPr="003014D8" w14:paraId="450DB3ED" w14:textId="77777777" w:rsidTr="00910D9A">
        <w:trPr>
          <w:trHeight w:val="20"/>
        </w:trPr>
        <w:tc>
          <w:tcPr>
            <w:tcW w:w="1951" w:type="dxa"/>
          </w:tcPr>
          <w:p w14:paraId="264693C3" w14:textId="77777777" w:rsidR="00987757" w:rsidRPr="003014D8" w:rsidRDefault="00987757" w:rsidP="009625DD">
            <w:pPr>
              <w:pStyle w:val="DPCtablecolhead"/>
            </w:pPr>
            <w:r w:rsidRPr="003014D8">
              <w:t>Unnecessary use of words with similar meanings</w:t>
            </w:r>
          </w:p>
        </w:tc>
        <w:tc>
          <w:tcPr>
            <w:tcW w:w="7371" w:type="dxa"/>
          </w:tcPr>
          <w:p w14:paraId="7C9F6AEA" w14:textId="77777777" w:rsidR="00987757" w:rsidRPr="003014D8" w:rsidRDefault="00987757" w:rsidP="00871B34">
            <w:pPr>
              <w:pStyle w:val="DPCtabletext"/>
            </w:pPr>
            <w:r w:rsidRPr="003014D8">
              <w:t xml:space="preserve">Unnecessary words, or doubles and triplets such as: </w:t>
            </w:r>
            <w:r w:rsidRPr="003014D8">
              <w:rPr>
                <w:i/>
              </w:rPr>
              <w:t>‘preserve, maintain and care for’</w:t>
            </w:r>
            <w:r w:rsidRPr="003014D8">
              <w:t xml:space="preserve"> can create confusion in compliance with a condition</w:t>
            </w:r>
            <w:r>
              <w:t>,</w:t>
            </w:r>
            <w:r w:rsidRPr="003014D8">
              <w:t xml:space="preserve"> as each can be taken as a singular element that must be established for compliance to be met. </w:t>
            </w:r>
          </w:p>
        </w:tc>
        <w:tc>
          <w:tcPr>
            <w:tcW w:w="4852" w:type="dxa"/>
          </w:tcPr>
          <w:p w14:paraId="0AD5935D" w14:textId="77777777" w:rsidR="00987757" w:rsidRPr="003014D8" w:rsidRDefault="00987757" w:rsidP="00871B34">
            <w:pPr>
              <w:pStyle w:val="DPCtabletext"/>
            </w:pPr>
            <w:r w:rsidRPr="003014D8">
              <w:t xml:space="preserve">Consider your intention and whether the words used will satisfy this. </w:t>
            </w:r>
          </w:p>
          <w:p w14:paraId="3E83101B" w14:textId="7207DE23" w:rsidR="00A75180" w:rsidRPr="003014D8" w:rsidRDefault="00987757" w:rsidP="004527B1">
            <w:pPr>
              <w:pStyle w:val="DPCtabletext"/>
              <w:spacing w:after="120"/>
            </w:pPr>
            <w:r w:rsidRPr="003014D8">
              <w:t>Try to keep the language of conditions and contingency plans concise.</w:t>
            </w:r>
          </w:p>
        </w:tc>
      </w:tr>
      <w:tr w:rsidR="00A75180" w:rsidRPr="003014D8" w14:paraId="1443CC47" w14:textId="77777777" w:rsidTr="00910D9A">
        <w:trPr>
          <w:trHeight w:val="20"/>
        </w:trPr>
        <w:tc>
          <w:tcPr>
            <w:tcW w:w="1951" w:type="dxa"/>
          </w:tcPr>
          <w:p w14:paraId="52CB691E" w14:textId="484A26C8" w:rsidR="00A75180" w:rsidRPr="003014D8" w:rsidRDefault="00A75180" w:rsidP="009625DD">
            <w:pPr>
              <w:pStyle w:val="DPCtablecolhead"/>
            </w:pPr>
            <w:r>
              <w:t>Consistent use of terminology</w:t>
            </w:r>
          </w:p>
        </w:tc>
        <w:tc>
          <w:tcPr>
            <w:tcW w:w="7371" w:type="dxa"/>
          </w:tcPr>
          <w:p w14:paraId="608C95DD" w14:textId="4D3032B7" w:rsidR="00A75180" w:rsidRPr="003014D8" w:rsidRDefault="00A75180" w:rsidP="00871B34">
            <w:pPr>
              <w:pStyle w:val="DPCtabletext"/>
            </w:pPr>
            <w:r>
              <w:t>Using interchangeable words can cause confusion.</w:t>
            </w:r>
          </w:p>
        </w:tc>
        <w:tc>
          <w:tcPr>
            <w:tcW w:w="4852" w:type="dxa"/>
          </w:tcPr>
          <w:p w14:paraId="0C5E2F28" w14:textId="67675A53" w:rsidR="00A75180" w:rsidRPr="003014D8" w:rsidRDefault="00A75180" w:rsidP="004527B1">
            <w:pPr>
              <w:pStyle w:val="DPCtabletext"/>
              <w:spacing w:after="120"/>
            </w:pPr>
            <w:r>
              <w:t>Try to keep language and terminology consistent throughout the document.</w:t>
            </w:r>
          </w:p>
        </w:tc>
      </w:tr>
    </w:tbl>
    <w:p w14:paraId="39BC55F4" w14:textId="77777777" w:rsidR="00987757" w:rsidRPr="00987757" w:rsidRDefault="00987757" w:rsidP="004527B1">
      <w:pPr>
        <w:pStyle w:val="DPCbody"/>
      </w:pPr>
    </w:p>
    <w:sectPr w:rsidR="00987757" w:rsidRPr="00987757" w:rsidSect="00401322">
      <w:headerReference w:type="even" r:id="rId17"/>
      <w:headerReference w:type="default" r:id="rId18"/>
      <w:footerReference w:type="even" r:id="rId19"/>
      <w:footerReference w:type="default" r:id="rId20"/>
      <w:headerReference w:type="first" r:id="rId21"/>
      <w:pgSz w:w="11906" w:h="16838" w:code="9"/>
      <w:pgMar w:top="1531" w:right="1134" w:bottom="1134" w:left="113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35475" w14:textId="77777777" w:rsidR="00D30FA1" w:rsidRDefault="00D30FA1">
      <w:r>
        <w:separator/>
      </w:r>
    </w:p>
    <w:p w14:paraId="78BBDC60" w14:textId="77777777" w:rsidR="00D30FA1" w:rsidRDefault="00D30FA1"/>
  </w:endnote>
  <w:endnote w:type="continuationSeparator" w:id="0">
    <w:p w14:paraId="237E5C96" w14:textId="77777777" w:rsidR="00D30FA1" w:rsidRDefault="00D30FA1">
      <w:r>
        <w:continuationSeparator/>
      </w:r>
    </w:p>
    <w:p w14:paraId="41B2B039" w14:textId="77777777" w:rsidR="00D30FA1" w:rsidRDefault="00D30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1AEF" w:usb1="5000A1FF" w:usb2="00000000" w:usb3="00000000" w:csb0="000001B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BFC66" w14:textId="77777777" w:rsidR="00786051" w:rsidRDefault="001F6F12">
    <w:pPr>
      <w:pStyle w:val="Footer"/>
    </w:pPr>
    <w:r>
      <w:rPr>
        <w:noProof/>
      </w:rPr>
      <mc:AlternateContent>
        <mc:Choice Requires="wps">
          <w:drawing>
            <wp:anchor distT="0" distB="0" distL="114300" distR="114300" simplePos="1" relativeHeight="251662336" behindDoc="0" locked="0" layoutInCell="0" allowOverlap="1" wp14:anchorId="47E58196" wp14:editId="4AA92724">
              <wp:simplePos x="0" y="10234930"/>
              <wp:positionH relativeFrom="page">
                <wp:posOffset>0</wp:posOffset>
              </wp:positionH>
              <wp:positionV relativeFrom="page">
                <wp:posOffset>10234930</wp:posOffset>
              </wp:positionV>
              <wp:extent cx="7560310" cy="266700"/>
              <wp:effectExtent l="0" t="0" r="0" b="0"/>
              <wp:wrapNone/>
              <wp:docPr id="12" name="MSIPCMdf4a45fcb38c8d61b42d9e05"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15EBAE" w14:textId="77777777" w:rsidR="001F6F12" w:rsidRPr="001F6F12" w:rsidRDefault="001F6F12" w:rsidP="001F6F12">
                          <w:pPr>
                            <w:rPr>
                              <w:rFonts w:ascii="Calibri" w:hAnsi="Calibri" w:cs="Calibri"/>
                              <w:color w:val="000000"/>
                              <w:sz w:val="22"/>
                            </w:rPr>
                          </w:pPr>
                          <w:r w:rsidRPr="001F6F1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E58196" id="_x0000_t202" coordsize="21600,21600" o:spt="202" path="m,l,21600r21600,l21600,xe">
              <v:stroke joinstyle="miter"/>
              <v:path gradientshapeok="t" o:connecttype="rect"/>
            </v:shapetype>
            <v:shape id="MSIPCMdf4a45fcb38c8d61b42d9e05" o:spid="_x0000_s1026" type="#_x0000_t202" alt="{&quot;HashCode&quot;:-1267603503,&quot;Height&quot;:841.0,&quot;Width&quot;:595.0,&quot;Placement&quot;:&quot;Footer&quot;,&quot;Index&quot;:&quot;OddAndEven&quot;,&quot;Section&quot;:1,&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OCmijkjAwAAPAYAAA4A&#10;AAAAAAAAAAAAAAAALgIAAGRycy9lMm9Eb2MueG1sUEsBAi0AFAAGAAgAAAAhAGARxibeAAAACwEA&#10;AA8AAAAAAAAAAAAAAAAAfQUAAGRycy9kb3ducmV2LnhtbFBLBQYAAAAABAAEAPMAAACIBgAAAAA=&#10;" o:allowincell="f" filled="f" stroked="f" strokeweight=".5pt">
              <v:textbox inset="20pt,0,,0">
                <w:txbxContent>
                  <w:p w14:paraId="3315EBAE" w14:textId="77777777" w:rsidR="001F6F12" w:rsidRPr="001F6F12" w:rsidRDefault="001F6F12" w:rsidP="001F6F12">
                    <w:pPr>
                      <w:rPr>
                        <w:rFonts w:ascii="Calibri" w:hAnsi="Calibri" w:cs="Calibri"/>
                        <w:color w:val="000000"/>
                        <w:sz w:val="22"/>
                      </w:rPr>
                    </w:pPr>
                    <w:r w:rsidRPr="001F6F12">
                      <w:rPr>
                        <w:rFonts w:ascii="Calibri" w:hAnsi="Calibri" w:cs="Calibri"/>
                        <w:color w:val="000000"/>
                        <w:sz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39E2F" w14:textId="77777777" w:rsidR="00786051" w:rsidRDefault="001F6F12">
    <w:pPr>
      <w:pStyle w:val="Footer"/>
    </w:pPr>
    <w:r>
      <w:rPr>
        <w:noProof/>
      </w:rPr>
      <mc:AlternateContent>
        <mc:Choice Requires="wps">
          <w:drawing>
            <wp:anchor distT="0" distB="0" distL="114300" distR="114300" simplePos="0" relativeHeight="251656192" behindDoc="0" locked="0" layoutInCell="0" allowOverlap="1" wp14:anchorId="564F6D23" wp14:editId="401AC87B">
              <wp:simplePos x="0" y="0"/>
              <wp:positionH relativeFrom="page">
                <wp:posOffset>0</wp:posOffset>
              </wp:positionH>
              <wp:positionV relativeFrom="page">
                <wp:posOffset>10234930</wp:posOffset>
              </wp:positionV>
              <wp:extent cx="7560310" cy="266700"/>
              <wp:effectExtent l="0" t="0" r="0" b="0"/>
              <wp:wrapNone/>
              <wp:docPr id="11" name="MSIPCM11de4d28915cdbc51e33a1f9"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4332D0" w14:textId="77777777" w:rsidR="001F6F12" w:rsidRPr="001F6F12" w:rsidRDefault="001F6F12" w:rsidP="001F6F12">
                          <w:pPr>
                            <w:rPr>
                              <w:rFonts w:ascii="Calibri" w:hAnsi="Calibri" w:cs="Calibri"/>
                              <w:color w:val="000000"/>
                              <w:sz w:val="22"/>
                            </w:rPr>
                          </w:pPr>
                          <w:r w:rsidRPr="001F6F1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4F6D23" id="_x0000_t202" coordsize="21600,21600" o:spt="202" path="m,l,21600r21600,l21600,xe">
              <v:stroke joinstyle="miter"/>
              <v:path gradientshapeok="t" o:connecttype="rect"/>
            </v:shapetype>
            <v:shape id="MSIPCM11de4d28915cdbc51e33a1f9" o:spid="_x0000_s1027" type="#_x0000_t202" alt="{&quot;HashCode&quot;:-1267603503,&quot;Height&quot;:841.0,&quot;Width&quot;:595.0,&quot;Placement&quot;:&quot;Footer&quot;,&quot;Index&quot;:&quot;Primary&quot;,&quot;Section&quot;:1,&quot;Top&quot;:0.0,&quot;Left&quot;:0.0}" style="position:absolute;margin-left:0;margin-top:805.9pt;width:595.3pt;height:21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IlFbhsjAwAAQAYAAA4A&#10;AAAAAAAAAAAAAAAALgIAAGRycy9lMm9Eb2MueG1sUEsBAi0AFAAGAAgAAAAhAGARxibeAAAACwEA&#10;AA8AAAAAAAAAAAAAAAAAfQUAAGRycy9kb3ducmV2LnhtbFBLBQYAAAAABAAEAPMAAACIBgAAAAA=&#10;" o:allowincell="f" filled="f" stroked="f" strokeweight=".5pt">
              <v:textbox inset="20pt,0,,0">
                <w:txbxContent>
                  <w:p w14:paraId="604332D0" w14:textId="77777777" w:rsidR="001F6F12" w:rsidRPr="001F6F12" w:rsidRDefault="001F6F12" w:rsidP="001F6F12">
                    <w:pPr>
                      <w:rPr>
                        <w:rFonts w:ascii="Calibri" w:hAnsi="Calibri" w:cs="Calibri"/>
                        <w:color w:val="000000"/>
                        <w:sz w:val="22"/>
                      </w:rPr>
                    </w:pPr>
                    <w:r w:rsidRPr="001F6F12">
                      <w:rPr>
                        <w:rFonts w:ascii="Calibri" w:hAnsi="Calibri" w:cs="Calibri"/>
                        <w:color w:val="000000"/>
                        <w:sz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8C988" w14:textId="77777777" w:rsidR="00020B84" w:rsidRDefault="00020B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E60BC" w14:textId="77777777" w:rsidR="00933B7F" w:rsidRDefault="00995981" w:rsidP="001F6F12">
    <w:pPr>
      <w:pStyle w:val="Footer"/>
      <w:rPr>
        <w:noProof/>
      </w:rPr>
    </w:pPr>
    <w:r>
      <w:rPr>
        <w:noProof/>
      </w:rPr>
      <mc:AlternateContent>
        <mc:Choice Requires="wps">
          <w:drawing>
            <wp:anchor distT="0" distB="0" distL="114300" distR="114300" simplePos="0" relativeHeight="251660288" behindDoc="0" locked="0" layoutInCell="0" allowOverlap="1" wp14:anchorId="4F5543E9" wp14:editId="151B30D7">
              <wp:simplePos x="0" y="0"/>
              <wp:positionH relativeFrom="page">
                <wp:posOffset>0</wp:posOffset>
              </wp:positionH>
              <wp:positionV relativeFrom="page">
                <wp:posOffset>10234930</wp:posOffset>
              </wp:positionV>
              <wp:extent cx="7560310" cy="266700"/>
              <wp:effectExtent l="0" t="0" r="0" b="0"/>
              <wp:wrapNone/>
              <wp:docPr id="3" name="MSIPCMa0eb40939835c41e7df1b357" descr="{&quot;HashCode&quot;:-1267603503,&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79799B" w14:textId="77777777" w:rsidR="00995981" w:rsidRPr="00995981" w:rsidRDefault="00995981" w:rsidP="00995981">
                          <w:pPr>
                            <w:rPr>
                              <w:rFonts w:ascii="Calibri" w:hAnsi="Calibri" w:cs="Calibri"/>
                              <w:color w:val="000000"/>
                              <w:sz w:val="22"/>
                            </w:rPr>
                          </w:pPr>
                          <w:r w:rsidRPr="0099598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5543E9" id="_x0000_t202" coordsize="21600,21600" o:spt="202" path="m,l,21600r21600,l21600,xe">
              <v:stroke joinstyle="miter"/>
              <v:path gradientshapeok="t" o:connecttype="rect"/>
            </v:shapetype>
            <v:shape id="MSIPCMa0eb40939835c41e7df1b357" o:spid="_x0000_s1028" type="#_x0000_t202" alt="{&quot;HashCode&quot;:-1267603503,&quot;Height&quot;:841.0,&quot;Width&quot;:595.0,&quot;Placement&quot;:&quot;Footer&quot;,&quot;Index&quot;:&quot;OddAndEven&quot;,&quot;Section&quot;:2,&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L2mJKsjAwAAQgYAAA4A&#10;AAAAAAAAAAAAAAAALgIAAGRycy9lMm9Eb2MueG1sUEsBAi0AFAAGAAgAAAAhAGARxibeAAAACwEA&#10;AA8AAAAAAAAAAAAAAAAAfQUAAGRycy9kb3ducmV2LnhtbFBLBQYAAAAABAAEAPMAAACIBgAAAAA=&#10;" o:allowincell="f" filled="f" stroked="f" strokeweight=".5pt">
              <v:textbox inset="20pt,0,,0">
                <w:txbxContent>
                  <w:p w14:paraId="3579799B" w14:textId="77777777" w:rsidR="00995981" w:rsidRPr="00995981" w:rsidRDefault="00995981" w:rsidP="00995981">
                    <w:pPr>
                      <w:rPr>
                        <w:rFonts w:ascii="Calibri" w:hAnsi="Calibri" w:cs="Calibri"/>
                        <w:color w:val="000000"/>
                        <w:sz w:val="22"/>
                      </w:rPr>
                    </w:pPr>
                    <w:r w:rsidRPr="00995981">
                      <w:rPr>
                        <w:rFonts w:ascii="Calibri" w:hAnsi="Calibri" w:cs="Calibri"/>
                        <w:color w:val="000000"/>
                        <w:sz w:val="22"/>
                      </w:rPr>
                      <w:t>OFFICIAL</w:t>
                    </w:r>
                  </w:p>
                </w:txbxContent>
              </v:textbox>
              <w10:wrap anchorx="page" anchory="page"/>
            </v:shape>
          </w:pict>
        </mc:Fallback>
      </mc:AlternateContent>
    </w:r>
    <w:r w:rsidR="001F6F12">
      <w:rPr>
        <w:noProof/>
      </w:rPr>
      <mc:AlternateContent>
        <mc:Choice Requires="wps">
          <w:drawing>
            <wp:anchor distT="0" distB="0" distL="114300" distR="114300" simplePos="0" relativeHeight="251656192" behindDoc="0" locked="0" layoutInCell="0" allowOverlap="1" wp14:anchorId="4F2D70DC" wp14:editId="1D4F9013">
              <wp:simplePos x="0" y="0"/>
              <wp:positionH relativeFrom="page">
                <wp:posOffset>0</wp:posOffset>
              </wp:positionH>
              <wp:positionV relativeFrom="page">
                <wp:posOffset>10234930</wp:posOffset>
              </wp:positionV>
              <wp:extent cx="7560310" cy="266700"/>
              <wp:effectExtent l="0" t="0" r="0" b="0"/>
              <wp:wrapNone/>
              <wp:docPr id="19" name="MSIPCMd02e4e0788a5f7fd5b6b4c86" descr="{&quot;HashCode&quot;:-1267603503,&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9AA505" w14:textId="77777777" w:rsidR="001F6F12" w:rsidRPr="001F6F12" w:rsidRDefault="001F6F12" w:rsidP="001F6F12">
                          <w:pPr>
                            <w:rPr>
                              <w:rFonts w:ascii="Calibri" w:hAnsi="Calibri" w:cs="Calibri"/>
                              <w:color w:val="000000"/>
                              <w:sz w:val="22"/>
                            </w:rPr>
                          </w:pPr>
                          <w:r w:rsidRPr="001F6F1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4F2D70DC" id="MSIPCMd02e4e0788a5f7fd5b6b4c86" o:spid="_x0000_s1029" type="#_x0000_t202" alt="{&quot;HashCode&quot;:-1267603503,&quot;Height&quot;:841.0,&quot;Width&quot;:595.0,&quot;Placement&quot;:&quot;Footer&quot;,&quot;Index&quot;:&quot;OddAndEven&quot;,&quot;Section&quot;:3,&quot;Top&quot;:0.0,&quot;Left&quot;:0.0}" style="position:absolute;margin-left:0;margin-top:805.9pt;width:595.3pt;height:21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DQOTfSJAMAAEMGAAAO&#10;AAAAAAAAAAAAAAAAAC4CAABkcnMvZTJvRG9jLnhtbFBLAQItABQABgAIAAAAIQBgEcYm3gAAAAsB&#10;AAAPAAAAAAAAAAAAAAAAAH4FAABkcnMvZG93bnJldi54bWxQSwUGAAAAAAQABADzAAAAiQYAAAAA&#10;" o:allowincell="f" filled="f" stroked="f" strokeweight=".5pt">
              <v:textbox inset="20pt,0,,0">
                <w:txbxContent>
                  <w:p w14:paraId="059AA505" w14:textId="77777777" w:rsidR="001F6F12" w:rsidRPr="001F6F12" w:rsidRDefault="001F6F12" w:rsidP="001F6F12">
                    <w:pPr>
                      <w:rPr>
                        <w:rFonts w:ascii="Calibri" w:hAnsi="Calibri" w:cs="Calibri"/>
                        <w:color w:val="000000"/>
                        <w:sz w:val="22"/>
                      </w:rPr>
                    </w:pPr>
                    <w:r w:rsidRPr="001F6F12">
                      <w:rPr>
                        <w:rFonts w:ascii="Calibri" w:hAnsi="Calibri" w:cs="Calibri"/>
                        <w:color w:val="000000"/>
                        <w:sz w:val="22"/>
                      </w:rPr>
                      <w:t>OFFICIAL</w:t>
                    </w:r>
                  </w:p>
                </w:txbxContent>
              </v:textbox>
              <w10:wrap anchorx="page" anchory="page"/>
            </v:shape>
          </w:pict>
        </mc:Fallback>
      </mc:AlternateContent>
    </w:r>
    <w:r w:rsidR="00933B7F" w:rsidRPr="0099618E">
      <w:rPr>
        <w:noProof/>
      </w:rPr>
      <w:fldChar w:fldCharType="begin"/>
    </w:r>
    <w:r w:rsidR="00933B7F" w:rsidRPr="0099618E">
      <w:rPr>
        <w:noProof/>
      </w:rPr>
      <w:instrText xml:space="preserve"> PAGE </w:instrText>
    </w:r>
    <w:r w:rsidR="00933B7F" w:rsidRPr="0099618E">
      <w:rPr>
        <w:noProof/>
      </w:rPr>
      <w:fldChar w:fldCharType="separate"/>
    </w:r>
    <w:r w:rsidR="00933B7F">
      <w:rPr>
        <w:noProof/>
      </w:rPr>
      <w:t>6</w:t>
    </w:r>
    <w:r w:rsidR="00933B7F" w:rsidRPr="0099618E">
      <w:rPr>
        <w:noProof/>
      </w:rPr>
      <w:fldChar w:fldCharType="end"/>
    </w:r>
    <w:r w:rsidR="001F6F12">
      <w:rPr>
        <w:noProof/>
      </w:rPr>
      <w:tab/>
    </w:r>
    <w:r w:rsidR="007F3CB2">
      <w:rPr>
        <w:noProof/>
      </w:rPr>
      <w:t>Drafting Enforceable Conditions and Contingency Plans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EAAFD" w14:textId="77777777" w:rsidR="00933B7F" w:rsidRDefault="00995981" w:rsidP="001F6F12">
    <w:pPr>
      <w:pStyle w:val="Footer"/>
    </w:pPr>
    <w:r>
      <w:rPr>
        <w:noProof/>
      </w:rPr>
      <mc:AlternateContent>
        <mc:Choice Requires="wps">
          <w:drawing>
            <wp:anchor distT="0" distB="0" distL="114300" distR="114300" simplePos="0" relativeHeight="251659264" behindDoc="0" locked="0" layoutInCell="0" allowOverlap="1" wp14:anchorId="1056EED0" wp14:editId="72146718">
              <wp:simplePos x="0" y="0"/>
              <wp:positionH relativeFrom="page">
                <wp:posOffset>0</wp:posOffset>
              </wp:positionH>
              <wp:positionV relativeFrom="page">
                <wp:posOffset>10234930</wp:posOffset>
              </wp:positionV>
              <wp:extent cx="7560310" cy="266700"/>
              <wp:effectExtent l="0" t="0" r="0" b="0"/>
              <wp:wrapNone/>
              <wp:docPr id="1" name="MSIPCM9f2c4347adec845b189bdaa6"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AD9D4F" w14:textId="77777777" w:rsidR="00995981" w:rsidRPr="00995981" w:rsidRDefault="00995981" w:rsidP="00995981">
                          <w:pPr>
                            <w:rPr>
                              <w:rFonts w:ascii="Calibri" w:hAnsi="Calibri" w:cs="Calibri"/>
                              <w:color w:val="000000"/>
                              <w:sz w:val="22"/>
                            </w:rPr>
                          </w:pPr>
                          <w:r w:rsidRPr="0099598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056EED0" id="_x0000_t202" coordsize="21600,21600" o:spt="202" path="m,l,21600r21600,l21600,xe">
              <v:stroke joinstyle="miter"/>
              <v:path gradientshapeok="t" o:connecttype="rect"/>
            </v:shapetype>
            <v:shape id="MSIPCM9f2c4347adec845b189bdaa6" o:spid="_x0000_s1030" type="#_x0000_t202" alt="{&quot;HashCode&quot;:-1267603503,&quot;Height&quot;:841.0,&quot;Width&quot;:595.0,&quot;Placement&quot;:&quot;Footer&quot;,&quot;Index&quot;:&quot;Primary&quot;,&quot;Section&quot;:2,&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" o:allowincell="f" filled="f" stroked="f" strokeweight=".5pt">
              <v:textbox inset="20pt,0,,0">
                <w:txbxContent>
                  <w:p w14:paraId="16AD9D4F" w14:textId="77777777" w:rsidR="00995981" w:rsidRPr="00995981" w:rsidRDefault="00995981" w:rsidP="00995981">
                    <w:pPr>
                      <w:rPr>
                        <w:rFonts w:ascii="Calibri" w:hAnsi="Calibri" w:cs="Calibri"/>
                        <w:color w:val="000000"/>
                        <w:sz w:val="22"/>
                      </w:rPr>
                    </w:pPr>
                    <w:r w:rsidRPr="00995981">
                      <w:rPr>
                        <w:rFonts w:ascii="Calibri" w:hAnsi="Calibri" w:cs="Calibri"/>
                        <w:color w:val="000000"/>
                        <w:sz w:val="22"/>
                      </w:rPr>
                      <w:t>OFFICIAL</w:t>
                    </w:r>
                  </w:p>
                </w:txbxContent>
              </v:textbox>
              <w10:wrap anchorx="page" anchory="page"/>
            </v:shape>
          </w:pict>
        </mc:Fallback>
      </mc:AlternateContent>
    </w:r>
    <w:r w:rsidR="001F6F12">
      <w:rPr>
        <w:noProof/>
      </w:rPr>
      <mc:AlternateContent>
        <mc:Choice Requires="wps">
          <w:drawing>
            <wp:anchor distT="0" distB="0" distL="114300" distR="114300" simplePos="0" relativeHeight="251654144" behindDoc="0" locked="0" layoutInCell="0" allowOverlap="1" wp14:anchorId="13C3F324" wp14:editId="5F536373">
              <wp:simplePos x="0" y="0"/>
              <wp:positionH relativeFrom="page">
                <wp:posOffset>0</wp:posOffset>
              </wp:positionH>
              <wp:positionV relativeFrom="page">
                <wp:posOffset>10234930</wp:posOffset>
              </wp:positionV>
              <wp:extent cx="7560310" cy="266700"/>
              <wp:effectExtent l="0" t="0" r="0" b="0"/>
              <wp:wrapNone/>
              <wp:docPr id="18" name="MSIPCMb84e43b88b4d1d18069b1aa6"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A2AA6C" w14:textId="77777777" w:rsidR="001F6F12" w:rsidRPr="001F6F12" w:rsidRDefault="001F6F12" w:rsidP="001F6F12">
                          <w:pPr>
                            <w:rPr>
                              <w:rFonts w:ascii="Calibri" w:hAnsi="Calibri" w:cs="Calibri"/>
                              <w:color w:val="000000"/>
                              <w:sz w:val="22"/>
                            </w:rPr>
                          </w:pPr>
                          <w:r w:rsidRPr="001F6F1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13C3F324" id="MSIPCMb84e43b88b4d1d18069b1aa6" o:spid="_x0000_s1031" type="#_x0000_t202" alt="{&quot;HashCode&quot;:-1267603503,&quot;Height&quot;:841.0,&quot;Width&quot;:595.0,&quot;Placement&quot;:&quot;Footer&quot;,&quot;Index&quot;:&quot;Primary&quot;,&quot;Section&quot;:3,&quot;Top&quot;:0.0,&quot;Left&quot;:0.0}" style="position:absolute;margin-left:0;margin-top:805.9pt;width:595.3pt;height:21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" o:allowincell="f" filled="f" stroked="f" strokeweight=".5pt">
              <v:textbox inset="20pt,0,,0">
                <w:txbxContent>
                  <w:p w14:paraId="1AA2AA6C" w14:textId="77777777" w:rsidR="001F6F12" w:rsidRPr="001F6F12" w:rsidRDefault="001F6F12" w:rsidP="001F6F12">
                    <w:pPr>
                      <w:rPr>
                        <w:rFonts w:ascii="Calibri" w:hAnsi="Calibri" w:cs="Calibri"/>
                        <w:color w:val="000000"/>
                        <w:sz w:val="22"/>
                      </w:rPr>
                    </w:pPr>
                    <w:r w:rsidRPr="001F6F12">
                      <w:rPr>
                        <w:rFonts w:ascii="Calibri" w:hAnsi="Calibri" w:cs="Calibri"/>
                        <w:color w:val="000000"/>
                        <w:sz w:val="22"/>
                      </w:rPr>
                      <w:t>OFFICIAL</w:t>
                    </w:r>
                  </w:p>
                </w:txbxContent>
              </v:textbox>
              <w10:wrap anchorx="page" anchory="page"/>
            </v:shape>
          </w:pict>
        </mc:Fallback>
      </mc:AlternateContent>
    </w:r>
    <w:r w:rsidR="007F3CB2">
      <w:t>Drafting Enforceable Conditions and Contingency Plans</w:t>
    </w:r>
    <w:r w:rsidR="00933B7F" w:rsidRPr="00A80D31">
      <w:tab/>
    </w:r>
    <w:r w:rsidR="00933B7F" w:rsidRPr="00A80D31">
      <w:fldChar w:fldCharType="begin"/>
    </w:r>
    <w:r w:rsidR="00933B7F" w:rsidRPr="00A80D31">
      <w:instrText xml:space="preserve"> PAGE </w:instrText>
    </w:r>
    <w:r w:rsidR="00933B7F" w:rsidRPr="00A80D31">
      <w:fldChar w:fldCharType="separate"/>
    </w:r>
    <w:r w:rsidR="00933B7F">
      <w:t>7</w:t>
    </w:r>
    <w:r w:rsidR="00933B7F" w:rsidRPr="00A80D3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42217" w14:textId="77777777" w:rsidR="00D30FA1" w:rsidRDefault="00D30FA1">
      <w:r>
        <w:separator/>
      </w:r>
    </w:p>
  </w:footnote>
  <w:footnote w:type="continuationSeparator" w:id="0">
    <w:p w14:paraId="37668917" w14:textId="77777777" w:rsidR="00D30FA1" w:rsidRDefault="00D30FA1">
      <w:r>
        <w:continuationSeparator/>
      </w:r>
    </w:p>
    <w:p w14:paraId="73A5F7B7" w14:textId="77777777" w:rsidR="00D30FA1" w:rsidRDefault="00D30F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51C1A" w14:textId="77777777" w:rsidR="002D1C2F" w:rsidRDefault="00020B84">
    <w:pPr>
      <w:pStyle w:val="Header"/>
    </w:pPr>
    <w:r>
      <w:rPr>
        <w:noProof/>
      </w:rPr>
      <w:pict w14:anchorId="6426F2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468.15pt;height:187.25pt;rotation:315;z-index:-25165516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5B55D" w14:textId="77777777" w:rsidR="002D1C2F" w:rsidRDefault="00020B84">
    <w:pPr>
      <w:pStyle w:val="Header"/>
    </w:pPr>
    <w:r>
      <w:rPr>
        <w:noProof/>
      </w:rPr>
      <w:pict w14:anchorId="452072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68.15pt;height:187.25pt;rotation:315;z-index:-251654144;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B9FF0" w14:textId="77777777" w:rsidR="00020B84" w:rsidRDefault="00020B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B2269" w14:textId="213AB7B0" w:rsidR="00AE63E6" w:rsidRDefault="001F6F12">
    <w:pPr>
      <w:pStyle w:val="Header"/>
    </w:pPr>
    <w:r>
      <w:rPr>
        <w:noProof/>
        <w:lang w:eastAsia="en-AU"/>
      </w:rPr>
      <w:drawing>
        <wp:anchor distT="0" distB="0" distL="114300" distR="114300" simplePos="0" relativeHeight="251653120" behindDoc="0" locked="0" layoutInCell="0" allowOverlap="1" wp14:anchorId="66A0B479" wp14:editId="3E386FAE">
          <wp:simplePos x="0" y="0"/>
          <wp:positionH relativeFrom="page">
            <wp:posOffset>-635</wp:posOffset>
          </wp:positionH>
          <wp:positionV relativeFrom="page">
            <wp:posOffset>360045</wp:posOffset>
          </wp:positionV>
          <wp:extent cx="7555865" cy="501015"/>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55865" cy="501015"/>
                  </a:xfrm>
                  <a:prstGeom prst="rect">
                    <a:avLst/>
                  </a:prstGeom>
                </pic:spPr>
              </pic:pic>
            </a:graphicData>
          </a:graphic>
          <wp14:sizeRelH relativeFrom="margin">
            <wp14:pctWidth>0</wp14:pctWidth>
          </wp14:sizeRelH>
          <wp14:sizeRelV relativeFrom="margin">
            <wp14:pctHeight>0</wp14:pctHeight>
          </wp14:sizeRelV>
        </wp:anchor>
      </w:drawing>
    </w:r>
  </w:p>
  <w:p w14:paraId="6673D6CE" w14:textId="77777777" w:rsidR="00AE63E6" w:rsidRDefault="00AE63E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20A79" w14:textId="457956C6" w:rsidR="00933B7F" w:rsidRDefault="00683CAC">
    <w:pPr>
      <w:pStyle w:val="Header"/>
    </w:pPr>
    <w:r>
      <w:rPr>
        <w:noProof/>
        <w:lang w:eastAsia="en-AU"/>
      </w:rPr>
      <w:drawing>
        <wp:anchor distT="0" distB="0" distL="114300" distR="114300" simplePos="0" relativeHeight="251655168" behindDoc="0" locked="0" layoutInCell="0" allowOverlap="1" wp14:anchorId="16214B5E" wp14:editId="165510DF">
          <wp:simplePos x="0" y="0"/>
          <wp:positionH relativeFrom="page">
            <wp:posOffset>0</wp:posOffset>
          </wp:positionH>
          <wp:positionV relativeFrom="page">
            <wp:posOffset>314325</wp:posOffset>
          </wp:positionV>
          <wp:extent cx="7555865" cy="501015"/>
          <wp:effectExtent l="0" t="0" r="698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55865" cy="501015"/>
                  </a:xfrm>
                  <a:prstGeom prst="rect">
                    <a:avLst/>
                  </a:prstGeom>
                </pic:spPr>
              </pic:pic>
            </a:graphicData>
          </a:graphic>
          <wp14:sizeRelH relativeFrom="margin">
            <wp14:pctWidth>0</wp14:pctWidth>
          </wp14:sizeRelH>
          <wp14:sizeRelV relativeFrom="margin">
            <wp14:pctHeight>0</wp14:pctHeight>
          </wp14:sizeRelV>
        </wp:anchor>
      </w:drawing>
    </w:r>
    <w:r w:rsidR="00933B7F">
      <w:rPr>
        <w:noProof/>
        <w:lang w:eastAsia="en-AU"/>
      </w:rPr>
      <w:drawing>
        <wp:anchor distT="0" distB="0" distL="114300" distR="114300" simplePos="0" relativeHeight="251652096" behindDoc="0" locked="0" layoutInCell="0" allowOverlap="1" wp14:anchorId="1797F279" wp14:editId="3B3DDD08">
          <wp:simplePos x="0" y="0"/>
          <wp:positionH relativeFrom="page">
            <wp:posOffset>-3810</wp:posOffset>
          </wp:positionH>
          <wp:positionV relativeFrom="page">
            <wp:posOffset>312420</wp:posOffset>
          </wp:positionV>
          <wp:extent cx="10695600" cy="501840"/>
          <wp:effectExtent l="0" t="0" r="0" b="0"/>
          <wp:wrapNone/>
          <wp:docPr id="10" name="Picture 1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2">
                    <a:extLst>
                      <a:ext uri="{28A0092B-C50C-407E-A947-70E740481C1C}">
                        <a14:useLocalDpi xmlns:a14="http://schemas.microsoft.com/office/drawing/2010/main" val="0"/>
                      </a:ext>
                    </a:extLst>
                  </a:blip>
                  <a:stretch>
                    <a:fillRect/>
                  </a:stretch>
                </pic:blipFill>
                <pic:spPr>
                  <a:xfrm>
                    <a:off x="0" y="0"/>
                    <a:ext cx="10695600" cy="501840"/>
                  </a:xfrm>
                  <a:prstGeom prst="rect">
                    <a:avLst/>
                  </a:prstGeom>
                </pic:spPr>
              </pic:pic>
            </a:graphicData>
          </a:graphic>
          <wp14:sizeRelH relativeFrom="margin">
            <wp14:pctWidth>0</wp14:pctWidth>
          </wp14:sizeRelH>
          <wp14:sizeRelV relativeFrom="margin">
            <wp14:pctHeight>0</wp14:pctHeight>
          </wp14:sizeRelV>
        </wp:anchor>
      </w:drawing>
    </w:r>
  </w:p>
  <w:p w14:paraId="32788765" w14:textId="77777777" w:rsidR="00933B7F" w:rsidRDefault="00933B7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62CE0" w14:textId="77777777" w:rsidR="00B41CFF" w:rsidRDefault="00020B84">
    <w:pPr>
      <w:pStyle w:val="Header"/>
    </w:pPr>
    <w:r>
      <w:rPr>
        <w:noProof/>
      </w:rPr>
      <w:pict w14:anchorId="1D1B1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468.15pt;height:187.25pt;rotation:315;z-index:-25165312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3763"/>
    <w:multiLevelType w:val="multilevel"/>
    <w:tmpl w:val="E21AABEA"/>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8EF613F"/>
    <w:multiLevelType w:val="multilevel"/>
    <w:tmpl w:val="224AE6E4"/>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 w15:restartNumberingAfterBreak="0">
    <w:nsid w:val="0BAD2E30"/>
    <w:multiLevelType w:val="multilevel"/>
    <w:tmpl w:val="69D0DEFE"/>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BB542504"/>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20010C33"/>
    <w:multiLevelType w:val="multilevel"/>
    <w:tmpl w:val="5E460248"/>
    <w:lvl w:ilvl="0">
      <w:start w:val="1"/>
      <w:numFmt w:val="decimal"/>
      <w:lvlText w:val="%1"/>
      <w:lvlJc w:val="left"/>
      <w:pPr>
        <w:ind w:left="852" w:hanging="284"/>
      </w:pPr>
      <w:rPr>
        <w:rFonts w:hint="default"/>
        <w:sz w:val="24"/>
      </w:rPr>
    </w:lvl>
    <w:lvl w:ilvl="1">
      <w:start w:val="1"/>
      <w:numFmt w:val="bullet"/>
      <w:lvlRestart w:val="0"/>
      <w:lvlText w:val="–"/>
      <w:lvlJc w:val="left"/>
      <w:pPr>
        <w:tabs>
          <w:tab w:val="num" w:pos="852"/>
        </w:tabs>
        <w:ind w:left="1135" w:hanging="283"/>
      </w:pPr>
      <w:rPr>
        <w:rFonts w:ascii="Arial" w:hAnsi="Arial" w:hint="default"/>
        <w:color w:val="auto"/>
      </w:rPr>
    </w:lvl>
    <w:lvl w:ilvl="2">
      <w:start w:val="1"/>
      <w:numFmt w:val="none"/>
      <w:lvlRestart w:val="0"/>
      <w:lvlText w:val=""/>
      <w:lvlJc w:val="left"/>
      <w:pPr>
        <w:ind w:left="568" w:firstLine="0"/>
      </w:pPr>
      <w:rPr>
        <w:rFonts w:hint="default"/>
      </w:rPr>
    </w:lvl>
    <w:lvl w:ilvl="3">
      <w:start w:val="1"/>
      <w:numFmt w:val="none"/>
      <w:lvlRestart w:val="0"/>
      <w:lvlText w:val=""/>
      <w:lvlJc w:val="left"/>
      <w:pPr>
        <w:ind w:left="568" w:firstLine="0"/>
      </w:pPr>
      <w:rPr>
        <w:rFonts w:hint="default"/>
      </w:rPr>
    </w:lvl>
    <w:lvl w:ilvl="4">
      <w:start w:val="1"/>
      <w:numFmt w:val="none"/>
      <w:lvlRestart w:val="0"/>
      <w:lvlText w:val=""/>
      <w:lvlJc w:val="left"/>
      <w:pPr>
        <w:ind w:left="568" w:firstLine="0"/>
      </w:pPr>
      <w:rPr>
        <w:rFonts w:hint="default"/>
      </w:rPr>
    </w:lvl>
    <w:lvl w:ilvl="5">
      <w:start w:val="1"/>
      <w:numFmt w:val="none"/>
      <w:lvlRestart w:val="0"/>
      <w:lvlText w:val=""/>
      <w:lvlJc w:val="left"/>
      <w:pPr>
        <w:ind w:left="568" w:firstLine="0"/>
      </w:pPr>
      <w:rPr>
        <w:rFonts w:hint="default"/>
      </w:rPr>
    </w:lvl>
    <w:lvl w:ilvl="6">
      <w:start w:val="1"/>
      <w:numFmt w:val="none"/>
      <w:lvlRestart w:val="0"/>
      <w:lvlText w:val=""/>
      <w:lvlJc w:val="left"/>
      <w:pPr>
        <w:ind w:left="568" w:firstLine="0"/>
      </w:pPr>
      <w:rPr>
        <w:rFonts w:hint="default"/>
      </w:rPr>
    </w:lvl>
    <w:lvl w:ilvl="7">
      <w:start w:val="1"/>
      <w:numFmt w:val="none"/>
      <w:lvlRestart w:val="0"/>
      <w:lvlText w:val=""/>
      <w:lvlJc w:val="left"/>
      <w:pPr>
        <w:ind w:left="568" w:firstLine="0"/>
      </w:pPr>
      <w:rPr>
        <w:rFonts w:hint="default"/>
      </w:rPr>
    </w:lvl>
    <w:lvl w:ilvl="8">
      <w:start w:val="1"/>
      <w:numFmt w:val="none"/>
      <w:lvlRestart w:val="0"/>
      <w:lvlText w:val=""/>
      <w:lvlJc w:val="left"/>
      <w:pPr>
        <w:ind w:left="568" w:firstLine="0"/>
      </w:pPr>
      <w:rPr>
        <w:rFonts w:hint="default"/>
      </w:rPr>
    </w:lvl>
  </w:abstractNum>
  <w:abstractNum w:abstractNumId="5" w15:restartNumberingAfterBreak="0">
    <w:nsid w:val="2C074478"/>
    <w:multiLevelType w:val="hybridMultilevel"/>
    <w:tmpl w:val="F4A293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DB425E"/>
    <w:multiLevelType w:val="multilevel"/>
    <w:tmpl w:val="9406390E"/>
    <w:lvl w:ilvl="0">
      <w:start w:val="1"/>
      <w:numFmt w:val="decimal"/>
      <w:lvlText w:val="%1."/>
      <w:lvlJc w:val="left"/>
      <w:pPr>
        <w:ind w:left="284" w:hanging="284"/>
      </w:pPr>
      <w:rPr>
        <w:rFonts w:hint="default"/>
        <w:sz w:val="24"/>
      </w:rPr>
    </w:lvl>
    <w:lvl w:ilvl="1">
      <w:start w:val="1"/>
      <w:numFmt w:val="bullet"/>
      <w:lvlRestart w:val="0"/>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3C2478D2"/>
    <w:multiLevelType w:val="multilevel"/>
    <w:tmpl w:val="35F44968"/>
    <w:styleLink w:val="ZZBullets"/>
    <w:lvl w:ilvl="0">
      <w:start w:val="1"/>
      <w:numFmt w:val="decimal"/>
      <w:lvlText w:val="%1."/>
      <w:lvlJc w:val="left"/>
      <w:pPr>
        <w:ind w:left="852" w:hanging="284"/>
      </w:pPr>
      <w:rPr>
        <w:rFonts w:hint="default"/>
        <w:sz w:val="24"/>
      </w:rPr>
    </w:lvl>
    <w:lvl w:ilvl="1">
      <w:start w:val="1"/>
      <w:numFmt w:val="bullet"/>
      <w:lvlRestart w:val="0"/>
      <w:lvlText w:val="–"/>
      <w:lvlJc w:val="left"/>
      <w:pPr>
        <w:tabs>
          <w:tab w:val="num" w:pos="852"/>
        </w:tabs>
        <w:ind w:left="1135" w:hanging="283"/>
      </w:pPr>
      <w:rPr>
        <w:rFonts w:ascii="Arial" w:hAnsi="Arial" w:hint="default"/>
        <w:color w:val="auto"/>
      </w:rPr>
    </w:lvl>
    <w:lvl w:ilvl="2">
      <w:start w:val="1"/>
      <w:numFmt w:val="none"/>
      <w:lvlRestart w:val="0"/>
      <w:lvlText w:val=""/>
      <w:lvlJc w:val="left"/>
      <w:pPr>
        <w:ind w:left="568" w:firstLine="0"/>
      </w:pPr>
      <w:rPr>
        <w:rFonts w:hint="default"/>
      </w:rPr>
    </w:lvl>
    <w:lvl w:ilvl="3">
      <w:start w:val="1"/>
      <w:numFmt w:val="none"/>
      <w:lvlRestart w:val="0"/>
      <w:lvlText w:val=""/>
      <w:lvlJc w:val="left"/>
      <w:pPr>
        <w:ind w:left="568" w:firstLine="0"/>
      </w:pPr>
      <w:rPr>
        <w:rFonts w:hint="default"/>
      </w:rPr>
    </w:lvl>
    <w:lvl w:ilvl="4">
      <w:start w:val="1"/>
      <w:numFmt w:val="none"/>
      <w:lvlRestart w:val="0"/>
      <w:lvlText w:val=""/>
      <w:lvlJc w:val="left"/>
      <w:pPr>
        <w:ind w:left="568" w:firstLine="0"/>
      </w:pPr>
      <w:rPr>
        <w:rFonts w:hint="default"/>
      </w:rPr>
    </w:lvl>
    <w:lvl w:ilvl="5">
      <w:start w:val="1"/>
      <w:numFmt w:val="none"/>
      <w:lvlRestart w:val="0"/>
      <w:lvlText w:val=""/>
      <w:lvlJc w:val="left"/>
      <w:pPr>
        <w:ind w:left="568" w:firstLine="0"/>
      </w:pPr>
      <w:rPr>
        <w:rFonts w:hint="default"/>
      </w:rPr>
    </w:lvl>
    <w:lvl w:ilvl="6">
      <w:start w:val="1"/>
      <w:numFmt w:val="none"/>
      <w:lvlRestart w:val="0"/>
      <w:lvlText w:val=""/>
      <w:lvlJc w:val="left"/>
      <w:pPr>
        <w:ind w:left="568" w:firstLine="0"/>
      </w:pPr>
      <w:rPr>
        <w:rFonts w:hint="default"/>
      </w:rPr>
    </w:lvl>
    <w:lvl w:ilvl="7">
      <w:start w:val="1"/>
      <w:numFmt w:val="none"/>
      <w:lvlRestart w:val="0"/>
      <w:lvlText w:val=""/>
      <w:lvlJc w:val="left"/>
      <w:pPr>
        <w:ind w:left="568" w:firstLine="0"/>
      </w:pPr>
      <w:rPr>
        <w:rFonts w:hint="default"/>
      </w:rPr>
    </w:lvl>
    <w:lvl w:ilvl="8">
      <w:start w:val="1"/>
      <w:numFmt w:val="none"/>
      <w:lvlRestart w:val="0"/>
      <w:lvlText w:val=""/>
      <w:lvlJc w:val="left"/>
      <w:pPr>
        <w:ind w:left="568" w:firstLine="0"/>
      </w:pPr>
      <w:rPr>
        <w:rFonts w:hint="default"/>
      </w:rPr>
    </w:lvl>
  </w:abstractNum>
  <w:abstractNum w:abstractNumId="8" w15:restartNumberingAfterBreak="0">
    <w:nsid w:val="3D73362F"/>
    <w:multiLevelType w:val="multilevel"/>
    <w:tmpl w:val="224AE6E4"/>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9" w15:restartNumberingAfterBreak="0">
    <w:nsid w:val="57954932"/>
    <w:multiLevelType w:val="multilevel"/>
    <w:tmpl w:val="984ADE58"/>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0" w15:restartNumberingAfterBreak="0">
    <w:nsid w:val="587F3F9F"/>
    <w:multiLevelType w:val="hybridMultilevel"/>
    <w:tmpl w:val="149CEB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A2221D5"/>
    <w:multiLevelType w:val="multilevel"/>
    <w:tmpl w:val="1C20796E"/>
    <w:lvl w:ilvl="0">
      <w:start w:val="1"/>
      <w:numFmt w:val="bullet"/>
      <w:lvlText w:val="▪"/>
      <w:lvlJc w:val="left"/>
      <w:pPr>
        <w:ind w:left="284" w:hanging="284"/>
      </w:pPr>
      <w:rPr>
        <w:rFonts w:hint="default"/>
        <w:sz w:val="24"/>
      </w:rPr>
    </w:lvl>
    <w:lvl w:ilvl="1">
      <w:start w:val="1"/>
      <w:numFmt w:val="lowerLetter"/>
      <w:lvlText w:val="%2."/>
      <w:lvlJc w:val="left"/>
      <w:pPr>
        <w:tabs>
          <w:tab w:val="num" w:pos="284"/>
        </w:tabs>
        <w:ind w:left="567" w:hanging="283"/>
      </w:pPr>
      <w:rPr>
        <w:rFonts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B4B2592"/>
    <w:multiLevelType w:val="multilevel"/>
    <w:tmpl w:val="35F44968"/>
    <w:lvl w:ilvl="0">
      <w:start w:val="1"/>
      <w:numFmt w:val="decimal"/>
      <w:lvlText w:val="%1."/>
      <w:lvlJc w:val="left"/>
      <w:pPr>
        <w:ind w:left="852" w:hanging="284"/>
      </w:pPr>
      <w:rPr>
        <w:rFonts w:hint="default"/>
        <w:sz w:val="24"/>
      </w:rPr>
    </w:lvl>
    <w:lvl w:ilvl="1">
      <w:start w:val="1"/>
      <w:numFmt w:val="bullet"/>
      <w:lvlRestart w:val="0"/>
      <w:lvlText w:val="–"/>
      <w:lvlJc w:val="left"/>
      <w:pPr>
        <w:tabs>
          <w:tab w:val="num" w:pos="852"/>
        </w:tabs>
        <w:ind w:left="1135" w:hanging="283"/>
      </w:pPr>
      <w:rPr>
        <w:rFonts w:ascii="Arial" w:hAnsi="Arial" w:hint="default"/>
        <w:color w:val="auto"/>
      </w:rPr>
    </w:lvl>
    <w:lvl w:ilvl="2">
      <w:start w:val="1"/>
      <w:numFmt w:val="none"/>
      <w:lvlRestart w:val="0"/>
      <w:lvlText w:val=""/>
      <w:lvlJc w:val="left"/>
      <w:pPr>
        <w:ind w:left="568" w:firstLine="0"/>
      </w:pPr>
      <w:rPr>
        <w:rFonts w:hint="default"/>
      </w:rPr>
    </w:lvl>
    <w:lvl w:ilvl="3">
      <w:start w:val="1"/>
      <w:numFmt w:val="none"/>
      <w:lvlRestart w:val="0"/>
      <w:lvlText w:val=""/>
      <w:lvlJc w:val="left"/>
      <w:pPr>
        <w:ind w:left="568" w:firstLine="0"/>
      </w:pPr>
      <w:rPr>
        <w:rFonts w:hint="default"/>
      </w:rPr>
    </w:lvl>
    <w:lvl w:ilvl="4">
      <w:start w:val="1"/>
      <w:numFmt w:val="none"/>
      <w:lvlRestart w:val="0"/>
      <w:lvlText w:val=""/>
      <w:lvlJc w:val="left"/>
      <w:pPr>
        <w:ind w:left="568" w:firstLine="0"/>
      </w:pPr>
      <w:rPr>
        <w:rFonts w:hint="default"/>
      </w:rPr>
    </w:lvl>
    <w:lvl w:ilvl="5">
      <w:start w:val="1"/>
      <w:numFmt w:val="none"/>
      <w:lvlRestart w:val="0"/>
      <w:lvlText w:val=""/>
      <w:lvlJc w:val="left"/>
      <w:pPr>
        <w:ind w:left="568" w:firstLine="0"/>
      </w:pPr>
      <w:rPr>
        <w:rFonts w:hint="default"/>
      </w:rPr>
    </w:lvl>
    <w:lvl w:ilvl="6">
      <w:start w:val="1"/>
      <w:numFmt w:val="none"/>
      <w:lvlRestart w:val="0"/>
      <w:lvlText w:val=""/>
      <w:lvlJc w:val="left"/>
      <w:pPr>
        <w:ind w:left="568" w:firstLine="0"/>
      </w:pPr>
      <w:rPr>
        <w:rFonts w:hint="default"/>
      </w:rPr>
    </w:lvl>
    <w:lvl w:ilvl="7">
      <w:start w:val="1"/>
      <w:numFmt w:val="none"/>
      <w:lvlRestart w:val="0"/>
      <w:lvlText w:val=""/>
      <w:lvlJc w:val="left"/>
      <w:pPr>
        <w:ind w:left="568" w:firstLine="0"/>
      </w:pPr>
      <w:rPr>
        <w:rFonts w:hint="default"/>
      </w:rPr>
    </w:lvl>
    <w:lvl w:ilvl="8">
      <w:start w:val="1"/>
      <w:numFmt w:val="none"/>
      <w:lvlRestart w:val="0"/>
      <w:lvlText w:val=""/>
      <w:lvlJc w:val="left"/>
      <w:pPr>
        <w:ind w:left="568" w:firstLine="0"/>
      </w:pPr>
      <w:rPr>
        <w:rFonts w:hint="default"/>
      </w:rPr>
    </w:lvl>
  </w:abstractNum>
  <w:abstractNum w:abstractNumId="14" w15:restartNumberingAfterBreak="0">
    <w:nsid w:val="5FC85646"/>
    <w:multiLevelType w:val="multilevel"/>
    <w:tmpl w:val="35F44968"/>
    <w:lvl w:ilvl="0">
      <w:start w:val="1"/>
      <w:numFmt w:val="decimal"/>
      <w:lvlText w:val="%1."/>
      <w:lvlJc w:val="left"/>
      <w:pPr>
        <w:ind w:left="852" w:hanging="284"/>
      </w:pPr>
      <w:rPr>
        <w:rFonts w:hint="default"/>
        <w:sz w:val="24"/>
      </w:rPr>
    </w:lvl>
    <w:lvl w:ilvl="1">
      <w:start w:val="1"/>
      <w:numFmt w:val="bullet"/>
      <w:lvlRestart w:val="0"/>
      <w:lvlText w:val="–"/>
      <w:lvlJc w:val="left"/>
      <w:pPr>
        <w:tabs>
          <w:tab w:val="num" w:pos="852"/>
        </w:tabs>
        <w:ind w:left="1135" w:hanging="283"/>
      </w:pPr>
      <w:rPr>
        <w:rFonts w:ascii="Arial" w:hAnsi="Arial" w:hint="default"/>
        <w:color w:val="auto"/>
      </w:rPr>
    </w:lvl>
    <w:lvl w:ilvl="2">
      <w:start w:val="1"/>
      <w:numFmt w:val="none"/>
      <w:lvlRestart w:val="0"/>
      <w:lvlText w:val=""/>
      <w:lvlJc w:val="left"/>
      <w:pPr>
        <w:ind w:left="568" w:firstLine="0"/>
      </w:pPr>
      <w:rPr>
        <w:rFonts w:hint="default"/>
      </w:rPr>
    </w:lvl>
    <w:lvl w:ilvl="3">
      <w:start w:val="1"/>
      <w:numFmt w:val="none"/>
      <w:lvlRestart w:val="0"/>
      <w:lvlText w:val=""/>
      <w:lvlJc w:val="left"/>
      <w:pPr>
        <w:ind w:left="568" w:firstLine="0"/>
      </w:pPr>
      <w:rPr>
        <w:rFonts w:hint="default"/>
      </w:rPr>
    </w:lvl>
    <w:lvl w:ilvl="4">
      <w:start w:val="1"/>
      <w:numFmt w:val="none"/>
      <w:lvlRestart w:val="0"/>
      <w:lvlText w:val=""/>
      <w:lvlJc w:val="left"/>
      <w:pPr>
        <w:ind w:left="568" w:firstLine="0"/>
      </w:pPr>
      <w:rPr>
        <w:rFonts w:hint="default"/>
      </w:rPr>
    </w:lvl>
    <w:lvl w:ilvl="5">
      <w:start w:val="1"/>
      <w:numFmt w:val="none"/>
      <w:lvlRestart w:val="0"/>
      <w:lvlText w:val=""/>
      <w:lvlJc w:val="left"/>
      <w:pPr>
        <w:ind w:left="568" w:firstLine="0"/>
      </w:pPr>
      <w:rPr>
        <w:rFonts w:hint="default"/>
      </w:rPr>
    </w:lvl>
    <w:lvl w:ilvl="6">
      <w:start w:val="1"/>
      <w:numFmt w:val="none"/>
      <w:lvlRestart w:val="0"/>
      <w:lvlText w:val=""/>
      <w:lvlJc w:val="left"/>
      <w:pPr>
        <w:ind w:left="568" w:firstLine="0"/>
      </w:pPr>
      <w:rPr>
        <w:rFonts w:hint="default"/>
      </w:rPr>
    </w:lvl>
    <w:lvl w:ilvl="7">
      <w:start w:val="1"/>
      <w:numFmt w:val="none"/>
      <w:lvlRestart w:val="0"/>
      <w:lvlText w:val=""/>
      <w:lvlJc w:val="left"/>
      <w:pPr>
        <w:ind w:left="568" w:firstLine="0"/>
      </w:pPr>
      <w:rPr>
        <w:rFonts w:hint="default"/>
      </w:rPr>
    </w:lvl>
    <w:lvl w:ilvl="8">
      <w:start w:val="1"/>
      <w:numFmt w:val="none"/>
      <w:lvlRestart w:val="0"/>
      <w:lvlText w:val=""/>
      <w:lvlJc w:val="left"/>
      <w:pPr>
        <w:ind w:left="568" w:firstLine="0"/>
      </w:pPr>
      <w:rPr>
        <w:rFonts w:hint="default"/>
      </w:rPr>
    </w:lvl>
  </w:abstractNum>
  <w:abstractNum w:abstractNumId="15" w15:restartNumberingAfterBreak="0">
    <w:nsid w:val="612630CA"/>
    <w:multiLevelType w:val="multilevel"/>
    <w:tmpl w:val="984ADE58"/>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6" w15:restartNumberingAfterBreak="0">
    <w:nsid w:val="671F521E"/>
    <w:multiLevelType w:val="multilevel"/>
    <w:tmpl w:val="0C09001F"/>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9423DA"/>
    <w:multiLevelType w:val="multilevel"/>
    <w:tmpl w:val="306C070E"/>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7"/>
  </w:num>
  <w:num w:numId="2">
    <w:abstractNumId w:val="0"/>
  </w:num>
  <w:num w:numId="3">
    <w:abstractNumId w:val="3"/>
  </w:num>
  <w:num w:numId="4">
    <w:abstractNumId w:val="11"/>
  </w:num>
  <w:num w:numId="5">
    <w:abstractNumId w:val="17"/>
  </w:num>
  <w:num w:numId="6">
    <w:abstractNumId w:val="2"/>
  </w:num>
  <w:num w:numId="7">
    <w:abstractNumId w:val="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6"/>
  </w:num>
  <w:num w:numId="12">
    <w:abstractNumId w:val="5"/>
  </w:num>
  <w:num w:numId="13">
    <w:abstractNumId w:val="4"/>
  </w:num>
  <w:num w:numId="14">
    <w:abstractNumId w:val="12"/>
  </w:num>
  <w:num w:numId="15">
    <w:abstractNumId w:val="13"/>
  </w:num>
  <w:num w:numId="16">
    <w:abstractNumId w:val="14"/>
  </w:num>
  <w:num w:numId="17">
    <w:abstractNumId w:val="1"/>
  </w:num>
  <w:num w:numId="18">
    <w:abstractNumId w:val="9"/>
  </w:num>
  <w:num w:numId="19">
    <w:abstractNumId w:val="10"/>
  </w:num>
  <w:num w:numId="20">
    <w:abstractNumId w:val="6"/>
  </w:num>
  <w:num w:numId="21">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mirrorMargins/>
  <w:attachedTemplate r:id="rId1"/>
  <w:stylePaneSortMethod w:val="0000"/>
  <w:defaultTabStop w:val="720"/>
  <w:evenAndOddHeaders/>
  <w:drawingGridHorizontalSpacing w:val="100"/>
  <w:displayHorizontalDrawingGridEvery w:val="2"/>
  <w:displayVerticalDrawingGridEvery w:val="2"/>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F2E40"/>
    <w:rsid w:val="00002990"/>
    <w:rsid w:val="000048AC"/>
    <w:rsid w:val="000127CB"/>
    <w:rsid w:val="00014DD4"/>
    <w:rsid w:val="00014FC4"/>
    <w:rsid w:val="00020AAB"/>
    <w:rsid w:val="00020B84"/>
    <w:rsid w:val="00022E60"/>
    <w:rsid w:val="0002569A"/>
    <w:rsid w:val="00026C19"/>
    <w:rsid w:val="000270E1"/>
    <w:rsid w:val="00031B1A"/>
    <w:rsid w:val="00034BD2"/>
    <w:rsid w:val="0004285E"/>
    <w:rsid w:val="000445FF"/>
    <w:rsid w:val="000464DC"/>
    <w:rsid w:val="00060E93"/>
    <w:rsid w:val="00064936"/>
    <w:rsid w:val="00072333"/>
    <w:rsid w:val="000734F8"/>
    <w:rsid w:val="000736B8"/>
    <w:rsid w:val="000763E5"/>
    <w:rsid w:val="000817CB"/>
    <w:rsid w:val="0008644A"/>
    <w:rsid w:val="000873EF"/>
    <w:rsid w:val="00087CDC"/>
    <w:rsid w:val="0009003A"/>
    <w:rsid w:val="00092660"/>
    <w:rsid w:val="00094A6A"/>
    <w:rsid w:val="000A3D10"/>
    <w:rsid w:val="000A6852"/>
    <w:rsid w:val="000B4161"/>
    <w:rsid w:val="000B7345"/>
    <w:rsid w:val="000C6242"/>
    <w:rsid w:val="000C68DB"/>
    <w:rsid w:val="000D2C32"/>
    <w:rsid w:val="000E23EC"/>
    <w:rsid w:val="000E38B6"/>
    <w:rsid w:val="000E6F72"/>
    <w:rsid w:val="000F0478"/>
    <w:rsid w:val="000F7790"/>
    <w:rsid w:val="00103D5E"/>
    <w:rsid w:val="00104EA7"/>
    <w:rsid w:val="00105FAD"/>
    <w:rsid w:val="0011155B"/>
    <w:rsid w:val="00111A6A"/>
    <w:rsid w:val="00121BF1"/>
    <w:rsid w:val="00127A8B"/>
    <w:rsid w:val="00134BE5"/>
    <w:rsid w:val="0014221E"/>
    <w:rsid w:val="001423E3"/>
    <w:rsid w:val="001475EA"/>
    <w:rsid w:val="001504F5"/>
    <w:rsid w:val="00150F8F"/>
    <w:rsid w:val="001517BD"/>
    <w:rsid w:val="00153D05"/>
    <w:rsid w:val="001552EF"/>
    <w:rsid w:val="0017248D"/>
    <w:rsid w:val="0017272C"/>
    <w:rsid w:val="00173626"/>
    <w:rsid w:val="0017614A"/>
    <w:rsid w:val="001817CD"/>
    <w:rsid w:val="0018235E"/>
    <w:rsid w:val="001829B4"/>
    <w:rsid w:val="00186218"/>
    <w:rsid w:val="00192BA0"/>
    <w:rsid w:val="001971C9"/>
    <w:rsid w:val="00197303"/>
    <w:rsid w:val="001A17EA"/>
    <w:rsid w:val="001A7A18"/>
    <w:rsid w:val="001B1565"/>
    <w:rsid w:val="001B166D"/>
    <w:rsid w:val="001B28B5"/>
    <w:rsid w:val="001B2975"/>
    <w:rsid w:val="001C122D"/>
    <w:rsid w:val="001D2A82"/>
    <w:rsid w:val="001D569B"/>
    <w:rsid w:val="001E0EA3"/>
    <w:rsid w:val="001E2E20"/>
    <w:rsid w:val="001E4A90"/>
    <w:rsid w:val="001E4BF5"/>
    <w:rsid w:val="001F43E6"/>
    <w:rsid w:val="001F6F12"/>
    <w:rsid w:val="00202CB3"/>
    <w:rsid w:val="00213772"/>
    <w:rsid w:val="00213CAA"/>
    <w:rsid w:val="00213E5E"/>
    <w:rsid w:val="00215B5D"/>
    <w:rsid w:val="002170F8"/>
    <w:rsid w:val="00220749"/>
    <w:rsid w:val="002219A8"/>
    <w:rsid w:val="0022422C"/>
    <w:rsid w:val="0022724E"/>
    <w:rsid w:val="00230458"/>
    <w:rsid w:val="00230666"/>
    <w:rsid w:val="00231153"/>
    <w:rsid w:val="00232144"/>
    <w:rsid w:val="0023252E"/>
    <w:rsid w:val="00241C31"/>
    <w:rsid w:val="00254988"/>
    <w:rsid w:val="0026059B"/>
    <w:rsid w:val="0026104C"/>
    <w:rsid w:val="00263C52"/>
    <w:rsid w:val="002714FD"/>
    <w:rsid w:val="00272BE8"/>
    <w:rsid w:val="00275F94"/>
    <w:rsid w:val="00281B9C"/>
    <w:rsid w:val="00283F7D"/>
    <w:rsid w:val="00284C9B"/>
    <w:rsid w:val="00295421"/>
    <w:rsid w:val="002A141B"/>
    <w:rsid w:val="002A26B6"/>
    <w:rsid w:val="002A3E1C"/>
    <w:rsid w:val="002A5550"/>
    <w:rsid w:val="002A557E"/>
    <w:rsid w:val="002A6A4E"/>
    <w:rsid w:val="002B5A85"/>
    <w:rsid w:val="002B63A7"/>
    <w:rsid w:val="002C472F"/>
    <w:rsid w:val="002C4D47"/>
    <w:rsid w:val="002C5543"/>
    <w:rsid w:val="002C5938"/>
    <w:rsid w:val="002D0F7F"/>
    <w:rsid w:val="002D1A7C"/>
    <w:rsid w:val="002D1C2F"/>
    <w:rsid w:val="002D514F"/>
    <w:rsid w:val="002E0198"/>
    <w:rsid w:val="002E1D7C"/>
    <w:rsid w:val="002E2475"/>
    <w:rsid w:val="002E2AA7"/>
    <w:rsid w:val="002E7AE2"/>
    <w:rsid w:val="002F201C"/>
    <w:rsid w:val="002F449B"/>
    <w:rsid w:val="002F4D86"/>
    <w:rsid w:val="002F7C77"/>
    <w:rsid w:val="0030394B"/>
    <w:rsid w:val="00315BBD"/>
    <w:rsid w:val="0031753A"/>
    <w:rsid w:val="00320FDE"/>
    <w:rsid w:val="00322CC2"/>
    <w:rsid w:val="00326C42"/>
    <w:rsid w:val="003307C8"/>
    <w:rsid w:val="00331C46"/>
    <w:rsid w:val="00334B54"/>
    <w:rsid w:val="0033747E"/>
    <w:rsid w:val="00343733"/>
    <w:rsid w:val="0034382F"/>
    <w:rsid w:val="00346B4E"/>
    <w:rsid w:val="00351AA1"/>
    <w:rsid w:val="00352B6B"/>
    <w:rsid w:val="00353D19"/>
    <w:rsid w:val="00355761"/>
    <w:rsid w:val="00355886"/>
    <w:rsid w:val="00356814"/>
    <w:rsid w:val="00365730"/>
    <w:rsid w:val="003720DD"/>
    <w:rsid w:val="00382071"/>
    <w:rsid w:val="003A0470"/>
    <w:rsid w:val="003A2F25"/>
    <w:rsid w:val="003A497F"/>
    <w:rsid w:val="003A78DC"/>
    <w:rsid w:val="003B2807"/>
    <w:rsid w:val="003B5CC5"/>
    <w:rsid w:val="003B7E7C"/>
    <w:rsid w:val="003D4500"/>
    <w:rsid w:val="003D4AF3"/>
    <w:rsid w:val="003D5CFB"/>
    <w:rsid w:val="003E0316"/>
    <w:rsid w:val="003E2636"/>
    <w:rsid w:val="003E2E12"/>
    <w:rsid w:val="003E721B"/>
    <w:rsid w:val="003F0EA4"/>
    <w:rsid w:val="003F39CE"/>
    <w:rsid w:val="003F7DD1"/>
    <w:rsid w:val="00401108"/>
    <w:rsid w:val="00401322"/>
    <w:rsid w:val="00402927"/>
    <w:rsid w:val="00403AE9"/>
    <w:rsid w:val="00411833"/>
    <w:rsid w:val="00412F64"/>
    <w:rsid w:val="00417BEB"/>
    <w:rsid w:val="00431779"/>
    <w:rsid w:val="004324FF"/>
    <w:rsid w:val="00432A55"/>
    <w:rsid w:val="00435468"/>
    <w:rsid w:val="004374D2"/>
    <w:rsid w:val="0044260A"/>
    <w:rsid w:val="00444D82"/>
    <w:rsid w:val="004527B1"/>
    <w:rsid w:val="004564C6"/>
    <w:rsid w:val="004610CC"/>
    <w:rsid w:val="00465464"/>
    <w:rsid w:val="00465E87"/>
    <w:rsid w:val="004725D3"/>
    <w:rsid w:val="0047786A"/>
    <w:rsid w:val="00477A65"/>
    <w:rsid w:val="00480278"/>
    <w:rsid w:val="00482DB3"/>
    <w:rsid w:val="0048380B"/>
    <w:rsid w:val="0049707A"/>
    <w:rsid w:val="004A0236"/>
    <w:rsid w:val="004A369A"/>
    <w:rsid w:val="004A3B3E"/>
    <w:rsid w:val="004B20C7"/>
    <w:rsid w:val="004B3B86"/>
    <w:rsid w:val="004B53A4"/>
    <w:rsid w:val="004C294E"/>
    <w:rsid w:val="004C409B"/>
    <w:rsid w:val="004C4D4A"/>
    <w:rsid w:val="004C7E25"/>
    <w:rsid w:val="004D00F0"/>
    <w:rsid w:val="004D0173"/>
    <w:rsid w:val="004D0960"/>
    <w:rsid w:val="004D1056"/>
    <w:rsid w:val="004E293F"/>
    <w:rsid w:val="004E7922"/>
    <w:rsid w:val="004F0DFC"/>
    <w:rsid w:val="004F1596"/>
    <w:rsid w:val="004F41B2"/>
    <w:rsid w:val="004F4AFC"/>
    <w:rsid w:val="004F52A5"/>
    <w:rsid w:val="00500C8C"/>
    <w:rsid w:val="00501375"/>
    <w:rsid w:val="00501D7E"/>
    <w:rsid w:val="005022C9"/>
    <w:rsid w:val="0050633E"/>
    <w:rsid w:val="0050779D"/>
    <w:rsid w:val="00510435"/>
    <w:rsid w:val="00520BBB"/>
    <w:rsid w:val="00522120"/>
    <w:rsid w:val="00525456"/>
    <w:rsid w:val="00531650"/>
    <w:rsid w:val="00532236"/>
    <w:rsid w:val="00537CD2"/>
    <w:rsid w:val="0054104A"/>
    <w:rsid w:val="00541DFE"/>
    <w:rsid w:val="00543E6C"/>
    <w:rsid w:val="00551152"/>
    <w:rsid w:val="005552FD"/>
    <w:rsid w:val="0055648C"/>
    <w:rsid w:val="005600E5"/>
    <w:rsid w:val="00564E8F"/>
    <w:rsid w:val="005728A4"/>
    <w:rsid w:val="005763FC"/>
    <w:rsid w:val="00576EB4"/>
    <w:rsid w:val="00582768"/>
    <w:rsid w:val="00583461"/>
    <w:rsid w:val="005856A4"/>
    <w:rsid w:val="00590730"/>
    <w:rsid w:val="0059347A"/>
    <w:rsid w:val="005A3051"/>
    <w:rsid w:val="005A53FE"/>
    <w:rsid w:val="005B2A9B"/>
    <w:rsid w:val="005B7D22"/>
    <w:rsid w:val="005C029E"/>
    <w:rsid w:val="005C2A5D"/>
    <w:rsid w:val="005E06A0"/>
    <w:rsid w:val="005E085D"/>
    <w:rsid w:val="005E1B17"/>
    <w:rsid w:val="005E3FA7"/>
    <w:rsid w:val="005E7963"/>
    <w:rsid w:val="005F218C"/>
    <w:rsid w:val="005F5DA6"/>
    <w:rsid w:val="006005F2"/>
    <w:rsid w:val="00601D4D"/>
    <w:rsid w:val="006021B4"/>
    <w:rsid w:val="006062D8"/>
    <w:rsid w:val="00606827"/>
    <w:rsid w:val="0061779E"/>
    <w:rsid w:val="00617DCC"/>
    <w:rsid w:val="00620262"/>
    <w:rsid w:val="00620A76"/>
    <w:rsid w:val="00621001"/>
    <w:rsid w:val="00621B4C"/>
    <w:rsid w:val="0062750A"/>
    <w:rsid w:val="00627C52"/>
    <w:rsid w:val="00630937"/>
    <w:rsid w:val="0063220A"/>
    <w:rsid w:val="006452A6"/>
    <w:rsid w:val="006506FE"/>
    <w:rsid w:val="00653B84"/>
    <w:rsid w:val="006561C7"/>
    <w:rsid w:val="00665B41"/>
    <w:rsid w:val="00670614"/>
    <w:rsid w:val="006722B7"/>
    <w:rsid w:val="006805B4"/>
    <w:rsid w:val="00681CDB"/>
    <w:rsid w:val="00683274"/>
    <w:rsid w:val="00683CAC"/>
    <w:rsid w:val="00685CD1"/>
    <w:rsid w:val="006865C8"/>
    <w:rsid w:val="00686B48"/>
    <w:rsid w:val="00687038"/>
    <w:rsid w:val="0068714E"/>
    <w:rsid w:val="0069297B"/>
    <w:rsid w:val="006929F7"/>
    <w:rsid w:val="0069374A"/>
    <w:rsid w:val="006B169B"/>
    <w:rsid w:val="006B2C51"/>
    <w:rsid w:val="006B6361"/>
    <w:rsid w:val="006C3896"/>
    <w:rsid w:val="006C4752"/>
    <w:rsid w:val="006C7844"/>
    <w:rsid w:val="006D360C"/>
    <w:rsid w:val="006D5AC9"/>
    <w:rsid w:val="006D66ED"/>
    <w:rsid w:val="006D7199"/>
    <w:rsid w:val="006E1C1A"/>
    <w:rsid w:val="006E786B"/>
    <w:rsid w:val="006F1DC8"/>
    <w:rsid w:val="006F34FD"/>
    <w:rsid w:val="006F613A"/>
    <w:rsid w:val="007002B1"/>
    <w:rsid w:val="007009FB"/>
    <w:rsid w:val="00704EB7"/>
    <w:rsid w:val="00705742"/>
    <w:rsid w:val="00705D85"/>
    <w:rsid w:val="007104FE"/>
    <w:rsid w:val="00713981"/>
    <w:rsid w:val="007176D6"/>
    <w:rsid w:val="007177E6"/>
    <w:rsid w:val="00727D54"/>
    <w:rsid w:val="00731952"/>
    <w:rsid w:val="007344C5"/>
    <w:rsid w:val="00734959"/>
    <w:rsid w:val="00747004"/>
    <w:rsid w:val="00750531"/>
    <w:rsid w:val="007574A4"/>
    <w:rsid w:val="00764B08"/>
    <w:rsid w:val="00767D11"/>
    <w:rsid w:val="00781AB4"/>
    <w:rsid w:val="00786051"/>
    <w:rsid w:val="007923B7"/>
    <w:rsid w:val="00792616"/>
    <w:rsid w:val="007926BB"/>
    <w:rsid w:val="00796960"/>
    <w:rsid w:val="007A0283"/>
    <w:rsid w:val="007A3B56"/>
    <w:rsid w:val="007A6B45"/>
    <w:rsid w:val="007B37A7"/>
    <w:rsid w:val="007C2DC1"/>
    <w:rsid w:val="007C4C92"/>
    <w:rsid w:val="007D06C4"/>
    <w:rsid w:val="007D1063"/>
    <w:rsid w:val="007D3A2E"/>
    <w:rsid w:val="007D5108"/>
    <w:rsid w:val="007D5198"/>
    <w:rsid w:val="007D6588"/>
    <w:rsid w:val="007D6652"/>
    <w:rsid w:val="007E343D"/>
    <w:rsid w:val="007F3CB2"/>
    <w:rsid w:val="007F4383"/>
    <w:rsid w:val="007F6406"/>
    <w:rsid w:val="00801601"/>
    <w:rsid w:val="008017AB"/>
    <w:rsid w:val="00802F12"/>
    <w:rsid w:val="00805F11"/>
    <w:rsid w:val="008141DE"/>
    <w:rsid w:val="00814A9B"/>
    <w:rsid w:val="00814F66"/>
    <w:rsid w:val="00815FC3"/>
    <w:rsid w:val="00817C9E"/>
    <w:rsid w:val="008205AF"/>
    <w:rsid w:val="008225E5"/>
    <w:rsid w:val="00831053"/>
    <w:rsid w:val="008314D2"/>
    <w:rsid w:val="0083254D"/>
    <w:rsid w:val="00836249"/>
    <w:rsid w:val="00836F00"/>
    <w:rsid w:val="00843D1F"/>
    <w:rsid w:val="008458D6"/>
    <w:rsid w:val="00846192"/>
    <w:rsid w:val="00850806"/>
    <w:rsid w:val="00856A1B"/>
    <w:rsid w:val="00861F82"/>
    <w:rsid w:val="008621C3"/>
    <w:rsid w:val="00865486"/>
    <w:rsid w:val="0087159F"/>
    <w:rsid w:val="00871B34"/>
    <w:rsid w:val="00876275"/>
    <w:rsid w:val="00882B99"/>
    <w:rsid w:val="00883CA1"/>
    <w:rsid w:val="0088510E"/>
    <w:rsid w:val="00885A10"/>
    <w:rsid w:val="008A295B"/>
    <w:rsid w:val="008A2A28"/>
    <w:rsid w:val="008A6604"/>
    <w:rsid w:val="008A6840"/>
    <w:rsid w:val="008A7A7F"/>
    <w:rsid w:val="008A7FDB"/>
    <w:rsid w:val="008B2BA1"/>
    <w:rsid w:val="008B5482"/>
    <w:rsid w:val="008B7693"/>
    <w:rsid w:val="008C01BE"/>
    <w:rsid w:val="008C11F4"/>
    <w:rsid w:val="008C2BEC"/>
    <w:rsid w:val="008C6D0E"/>
    <w:rsid w:val="008D09D2"/>
    <w:rsid w:val="008D39C5"/>
    <w:rsid w:val="008E1D89"/>
    <w:rsid w:val="008E3E3E"/>
    <w:rsid w:val="008F56F0"/>
    <w:rsid w:val="008F5F87"/>
    <w:rsid w:val="00900A34"/>
    <w:rsid w:val="00907073"/>
    <w:rsid w:val="0091040F"/>
    <w:rsid w:val="00911EF0"/>
    <w:rsid w:val="009132DE"/>
    <w:rsid w:val="009204F1"/>
    <w:rsid w:val="009208F5"/>
    <w:rsid w:val="009243AA"/>
    <w:rsid w:val="00930B65"/>
    <w:rsid w:val="00932051"/>
    <w:rsid w:val="00932862"/>
    <w:rsid w:val="00933B7F"/>
    <w:rsid w:val="00935D60"/>
    <w:rsid w:val="009447BB"/>
    <w:rsid w:val="00946335"/>
    <w:rsid w:val="009513C4"/>
    <w:rsid w:val="00955E55"/>
    <w:rsid w:val="00960279"/>
    <w:rsid w:val="00962200"/>
    <w:rsid w:val="009625DD"/>
    <w:rsid w:val="00966F54"/>
    <w:rsid w:val="00973D72"/>
    <w:rsid w:val="00975E61"/>
    <w:rsid w:val="00976E31"/>
    <w:rsid w:val="00977C63"/>
    <w:rsid w:val="00980087"/>
    <w:rsid w:val="00980C0B"/>
    <w:rsid w:val="00985094"/>
    <w:rsid w:val="0098759B"/>
    <w:rsid w:val="00987757"/>
    <w:rsid w:val="009900F1"/>
    <w:rsid w:val="00992714"/>
    <w:rsid w:val="00995981"/>
    <w:rsid w:val="0099618E"/>
    <w:rsid w:val="009963CD"/>
    <w:rsid w:val="009A2C8B"/>
    <w:rsid w:val="009A6BA0"/>
    <w:rsid w:val="009B266D"/>
    <w:rsid w:val="009B5CBF"/>
    <w:rsid w:val="009C1788"/>
    <w:rsid w:val="009C184A"/>
    <w:rsid w:val="009C5216"/>
    <w:rsid w:val="009D2C69"/>
    <w:rsid w:val="009F08D1"/>
    <w:rsid w:val="009F1665"/>
    <w:rsid w:val="009F3F89"/>
    <w:rsid w:val="009F480E"/>
    <w:rsid w:val="00A022A2"/>
    <w:rsid w:val="00A02D15"/>
    <w:rsid w:val="00A11403"/>
    <w:rsid w:val="00A25B76"/>
    <w:rsid w:val="00A26B0D"/>
    <w:rsid w:val="00A36459"/>
    <w:rsid w:val="00A42F1B"/>
    <w:rsid w:val="00A43F15"/>
    <w:rsid w:val="00A546BC"/>
    <w:rsid w:val="00A60DD9"/>
    <w:rsid w:val="00A731F0"/>
    <w:rsid w:val="00A75180"/>
    <w:rsid w:val="00A759F8"/>
    <w:rsid w:val="00A75CD5"/>
    <w:rsid w:val="00A77062"/>
    <w:rsid w:val="00A80D31"/>
    <w:rsid w:val="00A832AF"/>
    <w:rsid w:val="00A952AB"/>
    <w:rsid w:val="00A95FC3"/>
    <w:rsid w:val="00AA45E6"/>
    <w:rsid w:val="00AA7173"/>
    <w:rsid w:val="00AB1F81"/>
    <w:rsid w:val="00AB489C"/>
    <w:rsid w:val="00AB6936"/>
    <w:rsid w:val="00AB6E15"/>
    <w:rsid w:val="00AC0C3B"/>
    <w:rsid w:val="00AC147A"/>
    <w:rsid w:val="00AC2D63"/>
    <w:rsid w:val="00AC3585"/>
    <w:rsid w:val="00AD03D8"/>
    <w:rsid w:val="00AD0711"/>
    <w:rsid w:val="00AD189F"/>
    <w:rsid w:val="00AE5FE0"/>
    <w:rsid w:val="00AE60B7"/>
    <w:rsid w:val="00AE63E6"/>
    <w:rsid w:val="00AF2AB7"/>
    <w:rsid w:val="00AF2B1C"/>
    <w:rsid w:val="00AF3B58"/>
    <w:rsid w:val="00AF4D3F"/>
    <w:rsid w:val="00AF5308"/>
    <w:rsid w:val="00B0300B"/>
    <w:rsid w:val="00B05457"/>
    <w:rsid w:val="00B128A0"/>
    <w:rsid w:val="00B157D3"/>
    <w:rsid w:val="00B20240"/>
    <w:rsid w:val="00B23281"/>
    <w:rsid w:val="00B26574"/>
    <w:rsid w:val="00B27571"/>
    <w:rsid w:val="00B34EC2"/>
    <w:rsid w:val="00B3527C"/>
    <w:rsid w:val="00B35B91"/>
    <w:rsid w:val="00B4164B"/>
    <w:rsid w:val="00B41CFF"/>
    <w:rsid w:val="00B5409A"/>
    <w:rsid w:val="00B55574"/>
    <w:rsid w:val="00B55D4D"/>
    <w:rsid w:val="00B6525D"/>
    <w:rsid w:val="00B65ABA"/>
    <w:rsid w:val="00B66514"/>
    <w:rsid w:val="00B6790F"/>
    <w:rsid w:val="00B70111"/>
    <w:rsid w:val="00B71B3B"/>
    <w:rsid w:val="00B73701"/>
    <w:rsid w:val="00B7427B"/>
    <w:rsid w:val="00B77D66"/>
    <w:rsid w:val="00B82CE3"/>
    <w:rsid w:val="00B85C16"/>
    <w:rsid w:val="00B87D61"/>
    <w:rsid w:val="00B93948"/>
    <w:rsid w:val="00BA4BC7"/>
    <w:rsid w:val="00BA55B7"/>
    <w:rsid w:val="00BA7D57"/>
    <w:rsid w:val="00BB18D1"/>
    <w:rsid w:val="00BB1969"/>
    <w:rsid w:val="00BB2E18"/>
    <w:rsid w:val="00BB3330"/>
    <w:rsid w:val="00BB47D7"/>
    <w:rsid w:val="00BB4845"/>
    <w:rsid w:val="00BB4A62"/>
    <w:rsid w:val="00BB6E73"/>
    <w:rsid w:val="00BC01C1"/>
    <w:rsid w:val="00BD6E05"/>
    <w:rsid w:val="00BE0257"/>
    <w:rsid w:val="00BE54D0"/>
    <w:rsid w:val="00BE575E"/>
    <w:rsid w:val="00BF6159"/>
    <w:rsid w:val="00BF7251"/>
    <w:rsid w:val="00BF7F28"/>
    <w:rsid w:val="00C009F7"/>
    <w:rsid w:val="00C05787"/>
    <w:rsid w:val="00C05A69"/>
    <w:rsid w:val="00C156D4"/>
    <w:rsid w:val="00C167A3"/>
    <w:rsid w:val="00C2232A"/>
    <w:rsid w:val="00C24D34"/>
    <w:rsid w:val="00C2657D"/>
    <w:rsid w:val="00C34AB7"/>
    <w:rsid w:val="00C40A46"/>
    <w:rsid w:val="00C416E1"/>
    <w:rsid w:val="00C45AAF"/>
    <w:rsid w:val="00C47BF8"/>
    <w:rsid w:val="00C535F3"/>
    <w:rsid w:val="00C53D29"/>
    <w:rsid w:val="00C53DCE"/>
    <w:rsid w:val="00C601CF"/>
    <w:rsid w:val="00C655F2"/>
    <w:rsid w:val="00C65B61"/>
    <w:rsid w:val="00C70E53"/>
    <w:rsid w:val="00C72979"/>
    <w:rsid w:val="00C73A05"/>
    <w:rsid w:val="00C73D14"/>
    <w:rsid w:val="00C7481E"/>
    <w:rsid w:val="00C81529"/>
    <w:rsid w:val="00C81BA6"/>
    <w:rsid w:val="00C8377C"/>
    <w:rsid w:val="00C877CD"/>
    <w:rsid w:val="00C902E9"/>
    <w:rsid w:val="00C908B7"/>
    <w:rsid w:val="00C96517"/>
    <w:rsid w:val="00CA4871"/>
    <w:rsid w:val="00CA6722"/>
    <w:rsid w:val="00CA6D4E"/>
    <w:rsid w:val="00CA7B4B"/>
    <w:rsid w:val="00CB52DD"/>
    <w:rsid w:val="00CC4F64"/>
    <w:rsid w:val="00CD058C"/>
    <w:rsid w:val="00CD3B98"/>
    <w:rsid w:val="00CD4216"/>
    <w:rsid w:val="00CD574B"/>
    <w:rsid w:val="00CD6614"/>
    <w:rsid w:val="00CD733F"/>
    <w:rsid w:val="00CE0942"/>
    <w:rsid w:val="00CE75EB"/>
    <w:rsid w:val="00CE7CA5"/>
    <w:rsid w:val="00CF1D81"/>
    <w:rsid w:val="00CF2DC9"/>
    <w:rsid w:val="00D16AA4"/>
    <w:rsid w:val="00D30FA1"/>
    <w:rsid w:val="00D311AB"/>
    <w:rsid w:val="00D332E1"/>
    <w:rsid w:val="00D442AD"/>
    <w:rsid w:val="00D45A15"/>
    <w:rsid w:val="00D4664B"/>
    <w:rsid w:val="00D51DC3"/>
    <w:rsid w:val="00D5784B"/>
    <w:rsid w:val="00D57908"/>
    <w:rsid w:val="00D61D91"/>
    <w:rsid w:val="00D63EFB"/>
    <w:rsid w:val="00D658AF"/>
    <w:rsid w:val="00D65EEF"/>
    <w:rsid w:val="00D67F2D"/>
    <w:rsid w:val="00D81F78"/>
    <w:rsid w:val="00D83DE9"/>
    <w:rsid w:val="00D8450D"/>
    <w:rsid w:val="00D84F67"/>
    <w:rsid w:val="00D9040C"/>
    <w:rsid w:val="00D95AF9"/>
    <w:rsid w:val="00DA09C9"/>
    <w:rsid w:val="00DA1822"/>
    <w:rsid w:val="00DB3DF3"/>
    <w:rsid w:val="00DB5E1F"/>
    <w:rsid w:val="00DC2613"/>
    <w:rsid w:val="00DC4512"/>
    <w:rsid w:val="00DE24E6"/>
    <w:rsid w:val="00DE7ACD"/>
    <w:rsid w:val="00DF07AD"/>
    <w:rsid w:val="00DF133A"/>
    <w:rsid w:val="00DF3364"/>
    <w:rsid w:val="00DF453D"/>
    <w:rsid w:val="00DF5ACB"/>
    <w:rsid w:val="00E055BB"/>
    <w:rsid w:val="00E10C93"/>
    <w:rsid w:val="00E11988"/>
    <w:rsid w:val="00E15DA9"/>
    <w:rsid w:val="00E2095D"/>
    <w:rsid w:val="00E22BB8"/>
    <w:rsid w:val="00E27B33"/>
    <w:rsid w:val="00E27E99"/>
    <w:rsid w:val="00E30414"/>
    <w:rsid w:val="00E34403"/>
    <w:rsid w:val="00E36ADE"/>
    <w:rsid w:val="00E40769"/>
    <w:rsid w:val="00E528E3"/>
    <w:rsid w:val="00E60F12"/>
    <w:rsid w:val="00E61775"/>
    <w:rsid w:val="00E62903"/>
    <w:rsid w:val="00E652FB"/>
    <w:rsid w:val="00E7635F"/>
    <w:rsid w:val="00E767EF"/>
    <w:rsid w:val="00E775F5"/>
    <w:rsid w:val="00E90882"/>
    <w:rsid w:val="00E917CD"/>
    <w:rsid w:val="00E92A81"/>
    <w:rsid w:val="00EA4AF0"/>
    <w:rsid w:val="00EA66AE"/>
    <w:rsid w:val="00EB6552"/>
    <w:rsid w:val="00EB65D4"/>
    <w:rsid w:val="00EC18E6"/>
    <w:rsid w:val="00EC1984"/>
    <w:rsid w:val="00ED3529"/>
    <w:rsid w:val="00EE397B"/>
    <w:rsid w:val="00EE6CD3"/>
    <w:rsid w:val="00EF20D7"/>
    <w:rsid w:val="00EF2E40"/>
    <w:rsid w:val="00EF3419"/>
    <w:rsid w:val="00F02BDB"/>
    <w:rsid w:val="00F036B2"/>
    <w:rsid w:val="00F037E3"/>
    <w:rsid w:val="00F0441B"/>
    <w:rsid w:val="00F07623"/>
    <w:rsid w:val="00F20479"/>
    <w:rsid w:val="00F3136B"/>
    <w:rsid w:val="00F314F1"/>
    <w:rsid w:val="00F327EA"/>
    <w:rsid w:val="00F34379"/>
    <w:rsid w:val="00F3468C"/>
    <w:rsid w:val="00F40741"/>
    <w:rsid w:val="00F42842"/>
    <w:rsid w:val="00F46E40"/>
    <w:rsid w:val="00F4760A"/>
    <w:rsid w:val="00F52B0E"/>
    <w:rsid w:val="00F52B8E"/>
    <w:rsid w:val="00F53C33"/>
    <w:rsid w:val="00F53CFD"/>
    <w:rsid w:val="00F54AF5"/>
    <w:rsid w:val="00F557E3"/>
    <w:rsid w:val="00F61E78"/>
    <w:rsid w:val="00F635C5"/>
    <w:rsid w:val="00F736E3"/>
    <w:rsid w:val="00F73ED5"/>
    <w:rsid w:val="00F767E8"/>
    <w:rsid w:val="00F86A3F"/>
    <w:rsid w:val="00F91297"/>
    <w:rsid w:val="00F97730"/>
    <w:rsid w:val="00FA6383"/>
    <w:rsid w:val="00FB32A4"/>
    <w:rsid w:val="00FB594D"/>
    <w:rsid w:val="00FC32EA"/>
    <w:rsid w:val="00FC49BB"/>
    <w:rsid w:val="00FC6FFF"/>
    <w:rsid w:val="00FD2412"/>
    <w:rsid w:val="00FD616B"/>
    <w:rsid w:val="00FE10C8"/>
    <w:rsid w:val="00FE15FB"/>
    <w:rsid w:val="00FE2232"/>
    <w:rsid w:val="00FE33CE"/>
    <w:rsid w:val="00FE34F1"/>
    <w:rsid w:val="00FE51D3"/>
    <w:rsid w:val="00FE61D3"/>
    <w:rsid w:val="00FF0BDF"/>
    <w:rsid w:val="00FF29D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342C0478"/>
  <w15:docId w15:val="{15F15D83-4AE1-4758-A956-29F92719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21"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331C46"/>
    <w:rPr>
      <w:rFonts w:ascii="Cambria" w:hAnsi="Cambria"/>
      <w:lang w:eastAsia="en-US"/>
    </w:rPr>
  </w:style>
  <w:style w:type="paragraph" w:styleId="Heading1">
    <w:name w:val="heading 1"/>
    <w:next w:val="DPCbody"/>
    <w:link w:val="Heading1Char"/>
    <w:uiPriority w:val="1"/>
    <w:qFormat/>
    <w:rsid w:val="00DB3DF3"/>
    <w:pPr>
      <w:keepNext/>
      <w:keepLines/>
      <w:spacing w:after="800" w:line="560" w:lineRule="atLeast"/>
      <w:outlineLvl w:val="0"/>
    </w:pPr>
    <w:rPr>
      <w:rFonts w:asciiTheme="majorHAnsi" w:eastAsia="MS Gothic" w:hAnsiTheme="majorHAnsi" w:cs="Arial"/>
      <w:bCs/>
      <w:color w:val="0072CE"/>
      <w:kern w:val="32"/>
      <w:sz w:val="52"/>
      <w:szCs w:val="52"/>
      <w:lang w:eastAsia="en-US"/>
    </w:rPr>
  </w:style>
  <w:style w:type="paragraph" w:styleId="Heading2">
    <w:name w:val="heading 2"/>
    <w:next w:val="DPCbody"/>
    <w:link w:val="Heading2Char"/>
    <w:uiPriority w:val="1"/>
    <w:qFormat/>
    <w:rsid w:val="00DB3DF3"/>
    <w:pPr>
      <w:keepNext/>
      <w:keepLines/>
      <w:spacing w:before="2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705D85"/>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7F6406"/>
    <w:pPr>
      <w:keepNext/>
      <w:keepLines/>
      <w:spacing w:before="240" w:after="120"/>
      <w:outlineLvl w:val="3"/>
    </w:pPr>
    <w:rPr>
      <w:rFonts w:asciiTheme="majorHAnsi" w:eastAsia="MS Mincho" w:hAnsiTheme="majorHAnsi"/>
      <w:b/>
      <w:bCs/>
      <w:color w:val="0072CE"/>
      <w:sz w:val="28"/>
      <w:szCs w:val="28"/>
      <w:lang w:eastAsia="en-US"/>
    </w:rPr>
  </w:style>
  <w:style w:type="paragraph" w:styleId="Heading5">
    <w:name w:val="heading 5"/>
    <w:next w:val="Normal"/>
    <w:link w:val="Heading5Char"/>
    <w:uiPriority w:val="9"/>
    <w:qFormat/>
    <w:rsid w:val="00501D7E"/>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B3DF3"/>
    <w:rPr>
      <w:rFonts w:asciiTheme="majorHAnsi" w:eastAsia="MS Gothic" w:hAnsiTheme="majorHAnsi" w:cs="Arial"/>
      <w:bCs/>
      <w:color w:val="0072CE"/>
      <w:kern w:val="32"/>
      <w:sz w:val="52"/>
      <w:szCs w:val="52"/>
      <w:lang w:eastAsia="en-US"/>
    </w:rPr>
  </w:style>
  <w:style w:type="character" w:customStyle="1" w:styleId="Heading2Char">
    <w:name w:val="Heading 2 Char"/>
    <w:link w:val="Heading2"/>
    <w:uiPriority w:val="1"/>
    <w:rsid w:val="00DB3DF3"/>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705D85"/>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7F6406"/>
    <w:rPr>
      <w:rFonts w:asciiTheme="majorHAnsi" w:eastAsia="MS Mincho" w:hAnsiTheme="majorHAnsi"/>
      <w:b/>
      <w:bCs/>
      <w:color w:val="0072CE"/>
      <w:sz w:val="28"/>
      <w:szCs w:val="28"/>
      <w:lang w:eastAsia="en-US"/>
    </w:rPr>
  </w:style>
  <w:style w:type="paragraph" w:styleId="Header">
    <w:name w:val="header"/>
    <w:rsid w:val="00900A34"/>
    <w:pPr>
      <w:tabs>
        <w:tab w:val="left" w:pos="9299"/>
      </w:tabs>
    </w:pPr>
    <w:rPr>
      <w:rFonts w:ascii="Arial" w:hAnsi="Arial"/>
      <w:lang w:eastAsia="en-US"/>
    </w:rPr>
  </w:style>
  <w:style w:type="paragraph" w:styleId="Footer">
    <w:name w:val="footer"/>
    <w:basedOn w:val="Normal"/>
    <w:rsid w:val="0099618E"/>
    <w:pPr>
      <w:tabs>
        <w:tab w:val="right" w:pos="9299"/>
      </w:tabs>
    </w:pPr>
    <w:rPr>
      <w:rFonts w:asciiTheme="majorHAnsi" w:hAnsiTheme="majorHAnsi" w:cs="Arial"/>
    </w:rPr>
  </w:style>
  <w:style w:type="character" w:styleId="FollowedHyperlink">
    <w:name w:val="FollowedHyperlink"/>
    <w:uiPriority w:val="99"/>
    <w:rsid w:val="00087CDC"/>
    <w:rPr>
      <w:color w:val="87189D"/>
      <w:u w:val="dotted"/>
    </w:rPr>
  </w:style>
  <w:style w:type="character" w:customStyle="1" w:styleId="FootnoteTextChar">
    <w:name w:val="Footnote Text Char"/>
    <w:link w:val="FootnoteText"/>
    <w:uiPriority w:val="8"/>
    <w:rsid w:val="0099618E"/>
    <w:rPr>
      <w:rFonts w:asciiTheme="minorHAnsi" w:eastAsia="MS Gothic" w:hAnsiTheme="minorHAnsi"/>
      <w:sz w:val="18"/>
      <w:szCs w:val="18"/>
      <w:lang w:eastAsia="en-US"/>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semiHidden/>
    <w:rsid w:val="00DA7946"/>
  </w:style>
  <w:style w:type="character" w:styleId="FootnoteReference">
    <w:name w:val="footnote reference"/>
    <w:uiPriority w:val="99"/>
    <w:rsid w:val="00232144"/>
    <w:rPr>
      <w:vertAlign w:val="superscript"/>
    </w:rPr>
  </w:style>
  <w:style w:type="paragraph" w:styleId="FootnoteText">
    <w:name w:val="footnote text"/>
    <w:link w:val="FootnoteTextChar"/>
    <w:uiPriority w:val="8"/>
    <w:rsid w:val="0099618E"/>
    <w:pPr>
      <w:spacing w:before="60" w:after="60"/>
    </w:pPr>
    <w:rPr>
      <w:rFonts w:asciiTheme="minorHAnsi" w:eastAsia="MS Gothic" w:hAnsiTheme="minorHAnsi"/>
      <w:sz w:val="18"/>
      <w:szCs w:val="18"/>
      <w:lang w:eastAsia="en-US"/>
    </w:rPr>
  </w:style>
  <w:style w:type="paragraph" w:styleId="TOC1">
    <w:name w:val="toc 1"/>
    <w:uiPriority w:val="39"/>
    <w:rsid w:val="00E90882"/>
    <w:pPr>
      <w:keepLines/>
      <w:tabs>
        <w:tab w:val="right" w:pos="9299"/>
      </w:tabs>
      <w:spacing w:before="200" w:after="60"/>
      <w:ind w:right="680"/>
    </w:pPr>
    <w:rPr>
      <w:rFonts w:asciiTheme="minorHAnsi" w:hAnsiTheme="minorHAnsi"/>
      <w:b/>
      <w:noProof/>
      <w:sz w:val="22"/>
      <w:szCs w:val="22"/>
      <w:lang w:eastAsia="en-US"/>
    </w:rPr>
  </w:style>
  <w:style w:type="paragraph" w:styleId="TOC2">
    <w:name w:val="toc 2"/>
    <w:uiPriority w:val="39"/>
    <w:rsid w:val="00C45AAF"/>
    <w:pPr>
      <w:keepLines/>
      <w:tabs>
        <w:tab w:val="right" w:pos="9299"/>
      </w:tabs>
      <w:spacing w:after="60"/>
      <w:ind w:right="680"/>
    </w:pPr>
    <w:rPr>
      <w:rFonts w:asciiTheme="minorHAnsi" w:hAnsiTheme="minorHAnsi"/>
      <w:noProof/>
      <w:sz w:val="22"/>
      <w:szCs w:val="22"/>
      <w:lang w:eastAsia="en-US"/>
    </w:rPr>
  </w:style>
  <w:style w:type="paragraph" w:styleId="TOC3">
    <w:name w:val="toc 3"/>
    <w:basedOn w:val="DPCbodynospace"/>
    <w:next w:val="Normal"/>
    <w:uiPriority w:val="39"/>
    <w:rsid w:val="0088510E"/>
  </w:style>
  <w:style w:type="paragraph" w:styleId="TOC4">
    <w:name w:val="toc 4"/>
    <w:basedOn w:val="Normal"/>
    <w:next w:val="Normal"/>
    <w:autoRedefine/>
    <w:uiPriority w:val="39"/>
    <w:semiHidden/>
    <w:rsid w:val="00AC2D63"/>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PCreporttitle">
    <w:name w:val="DPC report title"/>
    <w:uiPriority w:val="4"/>
    <w:rsid w:val="00705D85"/>
    <w:pPr>
      <w:keepLines/>
      <w:spacing w:after="240"/>
    </w:pPr>
    <w:rPr>
      <w:rFonts w:asciiTheme="majorHAnsi" w:hAnsiTheme="majorHAnsi"/>
      <w:bCs/>
      <w:color w:val="53565A"/>
      <w:sz w:val="64"/>
      <w:szCs w:val="64"/>
      <w:lang w:eastAsia="en-US"/>
    </w:rPr>
  </w:style>
  <w:style w:type="paragraph" w:customStyle="1" w:styleId="DPCreportsubtitle">
    <w:name w:val="DPC report subtitle"/>
    <w:uiPriority w:val="4"/>
    <w:rsid w:val="00705D85"/>
    <w:pPr>
      <w:spacing w:after="120"/>
    </w:pPr>
    <w:rPr>
      <w:rFonts w:asciiTheme="majorHAnsi" w:hAnsiTheme="majorHAnsi"/>
      <w:bCs/>
      <w:color w:val="53565A"/>
      <w:sz w:val="40"/>
      <w:szCs w:val="40"/>
      <w:lang w:eastAsia="en-US"/>
    </w:rPr>
  </w:style>
  <w:style w:type="character" w:customStyle="1" w:styleId="Heading5Char">
    <w:name w:val="Heading 5 Char"/>
    <w:link w:val="Heading5"/>
    <w:uiPriority w:val="9"/>
    <w:rsid w:val="00501D7E"/>
    <w:rPr>
      <w:rFonts w:asciiTheme="majorHAnsi" w:eastAsia="MS Mincho" w:hAnsiTheme="majorHAnsi"/>
      <w:b/>
      <w:bCs/>
      <w:i/>
      <w:sz w:val="24"/>
      <w:szCs w:val="24"/>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087CDC"/>
    <w:rPr>
      <w:color w:val="0072CE"/>
      <w:u w:val="dotted"/>
    </w:rPr>
  </w:style>
  <w:style w:type="paragraph" w:customStyle="1" w:styleId="DPCTOCheadingreport">
    <w:name w:val="DPC TOC heading report"/>
    <w:basedOn w:val="Heading1"/>
    <w:link w:val="DPCTOCheadingreportChar"/>
    <w:uiPriority w:val="5"/>
    <w:rsid w:val="00DB3DF3"/>
    <w:pPr>
      <w:pageBreakBefore/>
      <w:outlineLvl w:val="9"/>
    </w:pPr>
  </w:style>
  <w:style w:type="character" w:customStyle="1" w:styleId="DPCTOCheadingreportChar">
    <w:name w:val="DPC TOC heading report Char"/>
    <w:link w:val="DPCTOCheadingreport"/>
    <w:uiPriority w:val="5"/>
    <w:rsid w:val="00DB3DF3"/>
    <w:rPr>
      <w:rFonts w:asciiTheme="majorHAnsi" w:eastAsia="MS Gothic" w:hAnsiTheme="majorHAnsi" w:cs="Arial"/>
      <w:bCs/>
      <w:color w:val="0072CE"/>
      <w:kern w:val="32"/>
      <w:sz w:val="52"/>
      <w:szCs w:val="52"/>
      <w:lang w:eastAsia="en-US"/>
    </w:rPr>
  </w:style>
  <w:style w:type="numbering" w:customStyle="1" w:styleId="ZZBullets">
    <w:name w:val="ZZ Bullets"/>
    <w:rsid w:val="00AF5308"/>
    <w:pPr>
      <w:numPr>
        <w:numId w:val="1"/>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link w:val="DPCbodyChar"/>
    <w:qFormat/>
    <w:rsid w:val="00FE51D3"/>
    <w:pPr>
      <w:spacing w:after="160" w:line="300" w:lineRule="atLeast"/>
    </w:pPr>
    <w:rPr>
      <w:rFonts w:asciiTheme="minorHAnsi" w:eastAsia="Times" w:hAnsiTheme="minorHAnsi" w:cs="Arial"/>
      <w:color w:val="000000" w:themeColor="text1"/>
      <w:sz w:val="22"/>
      <w:szCs w:val="22"/>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AF5308"/>
    <w:pPr>
      <w:spacing w:after="60"/>
    </w:pPr>
  </w:style>
  <w:style w:type="paragraph" w:customStyle="1" w:styleId="DPCbullet2">
    <w:name w:val="DPC bullet 2"/>
    <w:basedOn w:val="DPCbody"/>
    <w:uiPriority w:val="2"/>
    <w:qFormat/>
    <w:rsid w:val="00AF5308"/>
    <w:pPr>
      <w:spacing w:after="60"/>
    </w:p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E36ADE"/>
    <w:pPr>
      <w:numPr>
        <w:numId w:val="5"/>
      </w:numPr>
    </w:pPr>
  </w:style>
  <w:style w:type="paragraph" w:customStyle="1" w:styleId="DPCnumberdigitindent">
    <w:name w:val="DPC number digit indent"/>
    <w:basedOn w:val="Normal"/>
    <w:uiPriority w:val="4"/>
    <w:qFormat/>
    <w:rsid w:val="00E36ADE"/>
    <w:pPr>
      <w:numPr>
        <w:ilvl w:val="1"/>
        <w:numId w:val="5"/>
      </w:numPr>
      <w:spacing w:after="160" w:line="300" w:lineRule="atLeast"/>
    </w:pPr>
    <w:rPr>
      <w:rFonts w:asciiTheme="minorHAnsi" w:eastAsia="Times" w:hAnsiTheme="minorHAnsi" w:cs="Arial"/>
      <w:color w:val="000000" w:themeColor="text1"/>
      <w:sz w:val="22"/>
      <w:szCs w:val="22"/>
    </w:rPr>
  </w:style>
  <w:style w:type="paragraph" w:customStyle="1" w:styleId="DPCnumberlowerroman">
    <w:name w:val="DPC number lower roman"/>
    <w:basedOn w:val="DPCbody"/>
    <w:uiPriority w:val="4"/>
    <w:qFormat/>
    <w:rsid w:val="00E36ADE"/>
    <w:pPr>
      <w:numPr>
        <w:numId w:val="4"/>
      </w:numPr>
    </w:pPr>
  </w:style>
  <w:style w:type="paragraph" w:customStyle="1" w:styleId="DPCnumberlowerromanindent">
    <w:name w:val="DPC number lower roman indent"/>
    <w:basedOn w:val="DPCbody"/>
    <w:uiPriority w:val="4"/>
    <w:qFormat/>
    <w:rsid w:val="00E36ADE"/>
    <w:pPr>
      <w:numPr>
        <w:ilvl w:val="1"/>
        <w:numId w:val="4"/>
      </w:numPr>
    </w:pPr>
  </w:style>
  <w:style w:type="paragraph" w:customStyle="1" w:styleId="DPCquote">
    <w:name w:val="DPC quote"/>
    <w:basedOn w:val="DPCbody"/>
    <w:uiPriority w:val="3"/>
    <w:qFormat/>
    <w:rsid w:val="00232144"/>
    <w:pPr>
      <w:ind w:left="397"/>
    </w:pPr>
    <w:rPr>
      <w:szCs w:val="18"/>
    </w:rPr>
  </w:style>
  <w:style w:type="paragraph" w:customStyle="1" w:styleId="DPCtabletext">
    <w:name w:val="DPC table text"/>
    <w:uiPriority w:val="3"/>
    <w:qFormat/>
    <w:rsid w:val="00FE51D3"/>
    <w:pPr>
      <w:spacing w:before="60" w:after="40"/>
    </w:pPr>
    <w:rPr>
      <w:rFonts w:asciiTheme="minorHAnsi" w:hAnsiTheme="minorHAnsi"/>
      <w:color w:val="000000" w:themeColor="text1"/>
      <w:lang w:eastAsia="en-US"/>
    </w:rPr>
  </w:style>
  <w:style w:type="paragraph" w:customStyle="1" w:styleId="DPCtablebullet">
    <w:name w:val="DPC table bullet"/>
    <w:basedOn w:val="DPCtabletext"/>
    <w:uiPriority w:val="3"/>
    <w:qFormat/>
    <w:rsid w:val="00C601CF"/>
    <w:pPr>
      <w:numPr>
        <w:numId w:val="2"/>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705D85"/>
    <w:pPr>
      <w:spacing w:before="80" w:after="60"/>
    </w:pPr>
    <w:rPr>
      <w:rFonts w:asciiTheme="majorHAnsi" w:hAnsiTheme="majorHAnsi"/>
      <w:b/>
      <w:color w:val="53565A"/>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semiHidden/>
    <w:rsid w:val="00232144"/>
    <w:pPr>
      <w:spacing w:line="240" w:lineRule="auto"/>
    </w:pPr>
    <w:rPr>
      <w:noProof/>
      <w:sz w:val="12"/>
    </w:rPr>
  </w:style>
  <w:style w:type="paragraph" w:customStyle="1" w:styleId="DPCbodyafterbullets">
    <w:name w:val="DPC body after bullets"/>
    <w:basedOn w:val="DPCbody"/>
    <w:uiPriority w:val="11"/>
    <w:rsid w:val="0002569A"/>
    <w:pPr>
      <w:spacing w:before="160"/>
    </w:pPr>
  </w:style>
  <w:style w:type="numbering" w:customStyle="1" w:styleId="ZZTablebullets">
    <w:name w:val="ZZ Table bullets"/>
    <w:basedOn w:val="ZZBullets"/>
    <w:uiPriority w:val="99"/>
    <w:rsid w:val="0002569A"/>
    <w:pPr>
      <w:numPr>
        <w:numId w:val="2"/>
      </w:numPr>
    </w:pPr>
  </w:style>
  <w:style w:type="numbering" w:customStyle="1" w:styleId="ZZQuotebullets">
    <w:name w:val="ZZ Quote bullets"/>
    <w:basedOn w:val="NoList"/>
    <w:uiPriority w:val="99"/>
    <w:rsid w:val="002F201C"/>
    <w:pPr>
      <w:numPr>
        <w:numId w:val="3"/>
      </w:numPr>
    </w:pPr>
  </w:style>
  <w:style w:type="paragraph" w:customStyle="1" w:styleId="DPCquotebullet">
    <w:name w:val="DPC quote bullet"/>
    <w:basedOn w:val="DPCquote"/>
    <w:rsid w:val="002F201C"/>
    <w:pPr>
      <w:numPr>
        <w:numId w:val="3"/>
      </w:numPr>
    </w:pPr>
  </w:style>
  <w:style w:type="numbering" w:customStyle="1" w:styleId="ZZNumberslowerroman">
    <w:name w:val="ZZ Numbers lower roman"/>
    <w:basedOn w:val="NoList"/>
    <w:uiPriority w:val="99"/>
    <w:rsid w:val="00E36ADE"/>
    <w:pPr>
      <w:numPr>
        <w:numId w:val="4"/>
      </w:numPr>
    </w:pPr>
  </w:style>
  <w:style w:type="numbering" w:customStyle="1" w:styleId="ZZNumbersloweralpha">
    <w:name w:val="ZZ Numbers lower alpha"/>
    <w:basedOn w:val="NoList"/>
    <w:rsid w:val="00E36ADE"/>
    <w:pPr>
      <w:numPr>
        <w:numId w:val="6"/>
      </w:numPr>
    </w:pPr>
  </w:style>
  <w:style w:type="numbering" w:customStyle="1" w:styleId="ZZNumbersdigit">
    <w:name w:val="ZZ Numbers digit"/>
    <w:basedOn w:val="NoList"/>
    <w:uiPriority w:val="99"/>
    <w:rsid w:val="00E36ADE"/>
    <w:pPr>
      <w:numPr>
        <w:numId w:val="5"/>
      </w:numPr>
    </w:pPr>
  </w:style>
  <w:style w:type="paragraph" w:customStyle="1" w:styleId="DPCbulletafternumbers1">
    <w:name w:val="DPC bullet after numbers 1"/>
    <w:basedOn w:val="DPCbody"/>
    <w:rsid w:val="00E36ADE"/>
    <w:pPr>
      <w:numPr>
        <w:ilvl w:val="2"/>
        <w:numId w:val="5"/>
      </w:numPr>
    </w:pPr>
  </w:style>
  <w:style w:type="paragraph" w:customStyle="1" w:styleId="DPCbulletafternumbers2">
    <w:name w:val="DPC bullet after numbers 2"/>
    <w:basedOn w:val="DPCbody"/>
    <w:rsid w:val="00E36ADE"/>
    <w:pPr>
      <w:numPr>
        <w:ilvl w:val="3"/>
        <w:numId w:val="5"/>
      </w:numPr>
    </w:pPr>
  </w:style>
  <w:style w:type="paragraph" w:customStyle="1" w:styleId="DPCnumberloweralpha">
    <w:name w:val="DPC number lower alpha"/>
    <w:basedOn w:val="DPCbody"/>
    <w:uiPriority w:val="3"/>
    <w:rsid w:val="00E36ADE"/>
    <w:pPr>
      <w:numPr>
        <w:numId w:val="7"/>
      </w:numPr>
    </w:pPr>
    <w:rPr>
      <w:rFonts w:ascii="Arial" w:hAnsi="Arial"/>
    </w:rPr>
  </w:style>
  <w:style w:type="paragraph" w:customStyle="1" w:styleId="DPCnumberloweralphaindent">
    <w:name w:val="DPC number lower alpha indent"/>
    <w:basedOn w:val="DPCbody"/>
    <w:uiPriority w:val="3"/>
    <w:rsid w:val="00E36ADE"/>
    <w:pPr>
      <w:numPr>
        <w:ilvl w:val="1"/>
        <w:numId w:val="7"/>
      </w:numPr>
    </w:pPr>
    <w:rPr>
      <w:rFonts w:ascii="Arial" w:hAnsi="Arial"/>
    </w:rPr>
  </w:style>
  <w:style w:type="paragraph" w:customStyle="1" w:styleId="DPCtabletext6pt">
    <w:name w:val="DPC table text + 6pt"/>
    <w:basedOn w:val="DPCtabletext"/>
    <w:uiPriority w:val="11"/>
    <w:rsid w:val="009F1665"/>
    <w:pPr>
      <w:spacing w:after="120"/>
    </w:pPr>
  </w:style>
  <w:style w:type="character" w:customStyle="1" w:styleId="DPCbodyChar">
    <w:name w:val="DPC body Char"/>
    <w:basedOn w:val="DefaultParagraphFont"/>
    <w:link w:val="DPCbody"/>
    <w:rsid w:val="0054104A"/>
    <w:rPr>
      <w:rFonts w:asciiTheme="minorHAnsi" w:eastAsia="Times" w:hAnsiTheme="minorHAnsi" w:cs="Arial"/>
      <w:color w:val="000000" w:themeColor="text1"/>
      <w:sz w:val="22"/>
      <w:szCs w:val="22"/>
      <w:lang w:eastAsia="en-US"/>
    </w:rPr>
  </w:style>
  <w:style w:type="table" w:customStyle="1" w:styleId="TableGrid1">
    <w:name w:val="Table Grid1"/>
    <w:basedOn w:val="TableNormal"/>
    <w:next w:val="TableGrid"/>
    <w:uiPriority w:val="59"/>
    <w:rsid w:val="00885A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885A10"/>
    <w:rPr>
      <w:b/>
      <w:bCs/>
      <w:i/>
      <w:iCs/>
      <w:color w:val="0072CE" w:themeColor="accent1"/>
    </w:rPr>
  </w:style>
  <w:style w:type="numbering" w:customStyle="1" w:styleId="Style1">
    <w:name w:val="Style1"/>
    <w:uiPriority w:val="99"/>
    <w:rsid w:val="00202CB3"/>
    <w:pPr>
      <w:numPr>
        <w:numId w:val="11"/>
      </w:numPr>
    </w:pPr>
  </w:style>
  <w:style w:type="paragraph" w:styleId="TOCHeading">
    <w:name w:val="TOC Heading"/>
    <w:basedOn w:val="Heading1"/>
    <w:next w:val="Normal"/>
    <w:uiPriority w:val="39"/>
    <w:unhideWhenUsed/>
    <w:qFormat/>
    <w:rsid w:val="000445FF"/>
    <w:pPr>
      <w:spacing w:before="240" w:after="0" w:line="259" w:lineRule="auto"/>
      <w:outlineLvl w:val="9"/>
    </w:pPr>
    <w:rPr>
      <w:rFonts w:eastAsiaTheme="majorEastAsia" w:cstheme="majorBidi"/>
      <w:bCs w:val="0"/>
      <w:color w:val="00559A" w:themeColor="accent1" w:themeShade="BF"/>
      <w:kern w:val="0"/>
      <w:sz w:val="32"/>
      <w:szCs w:val="32"/>
      <w:lang w:val="en-US"/>
    </w:rPr>
  </w:style>
  <w:style w:type="paragraph" w:styleId="TableofFigures">
    <w:name w:val="table of figures"/>
    <w:basedOn w:val="Normal"/>
    <w:next w:val="Normal"/>
    <w:uiPriority w:val="99"/>
    <w:unhideWhenUsed/>
    <w:rsid w:val="000445FF"/>
    <w:rPr>
      <w:rFonts w:asciiTheme="minorHAnsi" w:hAnsiTheme="minorHAnsi"/>
      <w:sz w:val="22"/>
    </w:rPr>
  </w:style>
  <w:style w:type="character" w:styleId="CommentReference">
    <w:name w:val="annotation reference"/>
    <w:basedOn w:val="DefaultParagraphFont"/>
    <w:uiPriority w:val="99"/>
    <w:semiHidden/>
    <w:unhideWhenUsed/>
    <w:rsid w:val="007C4C92"/>
    <w:rPr>
      <w:sz w:val="16"/>
      <w:szCs w:val="16"/>
    </w:rPr>
  </w:style>
  <w:style w:type="paragraph" w:styleId="CommentText">
    <w:name w:val="annotation text"/>
    <w:basedOn w:val="Normal"/>
    <w:link w:val="CommentTextChar"/>
    <w:uiPriority w:val="99"/>
    <w:semiHidden/>
    <w:unhideWhenUsed/>
    <w:rsid w:val="007C4C92"/>
  </w:style>
  <w:style w:type="character" w:customStyle="1" w:styleId="CommentTextChar">
    <w:name w:val="Comment Text Char"/>
    <w:basedOn w:val="DefaultParagraphFont"/>
    <w:link w:val="CommentText"/>
    <w:uiPriority w:val="99"/>
    <w:semiHidden/>
    <w:rsid w:val="007C4C92"/>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7C4C92"/>
    <w:rPr>
      <w:b/>
      <w:bCs/>
    </w:rPr>
  </w:style>
  <w:style w:type="character" w:customStyle="1" w:styleId="CommentSubjectChar">
    <w:name w:val="Comment Subject Char"/>
    <w:basedOn w:val="CommentTextChar"/>
    <w:link w:val="CommentSubject"/>
    <w:uiPriority w:val="99"/>
    <w:semiHidden/>
    <w:rsid w:val="007C4C92"/>
    <w:rPr>
      <w:rFonts w:ascii="Cambria" w:hAnsi="Cambria"/>
      <w:b/>
      <w:bCs/>
      <w:lang w:eastAsia="en-US"/>
    </w:rPr>
  </w:style>
  <w:style w:type="paragraph" w:styleId="BalloonText">
    <w:name w:val="Balloon Text"/>
    <w:basedOn w:val="Normal"/>
    <w:link w:val="BalloonTextChar"/>
    <w:uiPriority w:val="99"/>
    <w:semiHidden/>
    <w:unhideWhenUsed/>
    <w:rsid w:val="007C4C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C9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vic.gov.au/aboriginalvictoria/heritage/heritage-tools-and-publications/guides-forms-and-practice-notes-for-aboriginal-heritage-management.html"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vic.gov.au/aboriginalvictoria/heritage/heritage-tools-and-publications/guides-forms-and-practice-notes-for-aboriginal-heritage-management.html"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Templates\Portrait_with%20cover.dotx" TargetMode="External"/></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52631-487D-4BB0-AB9F-DDB59021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Portrait_with cover.dotx</Template>
  <TotalTime>1</TotalTime>
  <Pages>13</Pages>
  <Words>3930</Words>
  <Characters>22406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26284</CharactersWithSpaces>
  <SharedDoc>false</SharedDoc>
  <HyperlinkBase/>
  <HLinks>
    <vt:vector size="36" baseType="variant">
      <vt:variant>
        <vt:i4>1245237</vt:i4>
      </vt:variant>
      <vt:variant>
        <vt:i4>32</vt:i4>
      </vt:variant>
      <vt:variant>
        <vt:i4>0</vt:i4>
      </vt:variant>
      <vt:variant>
        <vt:i4>5</vt:i4>
      </vt:variant>
      <vt:variant>
        <vt:lpwstr/>
      </vt:variant>
      <vt:variant>
        <vt:lpwstr>_Toc411370762</vt:lpwstr>
      </vt:variant>
      <vt:variant>
        <vt:i4>1245237</vt:i4>
      </vt:variant>
      <vt:variant>
        <vt:i4>26</vt:i4>
      </vt:variant>
      <vt:variant>
        <vt:i4>0</vt:i4>
      </vt:variant>
      <vt:variant>
        <vt:i4>5</vt:i4>
      </vt:variant>
      <vt:variant>
        <vt:lpwstr/>
      </vt:variant>
      <vt:variant>
        <vt:lpwstr>_Toc411370761</vt:lpwstr>
      </vt:variant>
      <vt:variant>
        <vt:i4>1245237</vt:i4>
      </vt:variant>
      <vt:variant>
        <vt:i4>20</vt:i4>
      </vt:variant>
      <vt:variant>
        <vt:i4>0</vt:i4>
      </vt:variant>
      <vt:variant>
        <vt:i4>5</vt:i4>
      </vt:variant>
      <vt:variant>
        <vt:lpwstr/>
      </vt:variant>
      <vt:variant>
        <vt:lpwstr>_Toc411370760</vt:lpwstr>
      </vt:variant>
      <vt:variant>
        <vt:i4>1048629</vt:i4>
      </vt:variant>
      <vt:variant>
        <vt:i4>14</vt:i4>
      </vt:variant>
      <vt:variant>
        <vt:i4>0</vt:i4>
      </vt:variant>
      <vt:variant>
        <vt:i4>5</vt:i4>
      </vt:variant>
      <vt:variant>
        <vt:lpwstr/>
      </vt:variant>
      <vt:variant>
        <vt:lpwstr>_Toc411370759</vt:lpwstr>
      </vt:variant>
      <vt:variant>
        <vt:i4>1048629</vt:i4>
      </vt:variant>
      <vt:variant>
        <vt:i4>8</vt:i4>
      </vt:variant>
      <vt:variant>
        <vt:i4>0</vt:i4>
      </vt:variant>
      <vt:variant>
        <vt:i4>5</vt:i4>
      </vt:variant>
      <vt:variant>
        <vt:lpwstr/>
      </vt:variant>
      <vt:variant>
        <vt:lpwstr>_Toc411370758</vt:lpwstr>
      </vt:variant>
      <vt:variant>
        <vt:i4>1048629</vt:i4>
      </vt:variant>
      <vt:variant>
        <vt:i4>2</vt:i4>
      </vt:variant>
      <vt:variant>
        <vt:i4>0</vt:i4>
      </vt:variant>
      <vt:variant>
        <vt:i4>5</vt:i4>
      </vt:variant>
      <vt:variant>
        <vt:lpwstr/>
      </vt:variant>
      <vt:variant>
        <vt:lpwstr>_Toc411370757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Tuechler</dc:creator>
  <cp:lastModifiedBy>Simon Crocker (DPC)</cp:lastModifiedBy>
  <cp:revision>2</cp:revision>
  <cp:lastPrinted>2015-02-19T09:37:00Z</cp:lastPrinted>
  <dcterms:created xsi:type="dcterms:W3CDTF">2019-09-18T06:51:00Z</dcterms:created>
  <dcterms:modified xsi:type="dcterms:W3CDTF">2019-09-18T06:51:00Z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158ebbd-6c5e-441f-bfc9-4eb8c11e3978_Enabled">
    <vt:lpwstr>True</vt:lpwstr>
  </property>
  <property fmtid="{D5CDD505-2E9C-101B-9397-08002B2CF9AE}" pid="4" name="MSIP_Label_7158ebbd-6c5e-441f-bfc9-4eb8c11e3978_SiteId">
    <vt:lpwstr>722ea0be-3e1c-4b11-ad6f-9401d6856e24</vt:lpwstr>
  </property>
  <property fmtid="{D5CDD505-2E9C-101B-9397-08002B2CF9AE}" pid="5" name="MSIP_Label_7158ebbd-6c5e-441f-bfc9-4eb8c11e3978_Owner">
    <vt:lpwstr>anna.tuechler@dpc.vic.gov.au</vt:lpwstr>
  </property>
  <property fmtid="{D5CDD505-2E9C-101B-9397-08002B2CF9AE}" pid="6" name="MSIP_Label_7158ebbd-6c5e-441f-bfc9-4eb8c11e3978_SetDate">
    <vt:lpwstr>2019-07-01T03:52:53.3466972Z</vt:lpwstr>
  </property>
  <property fmtid="{D5CDD505-2E9C-101B-9397-08002B2CF9AE}" pid="7" name="MSIP_Label_7158ebbd-6c5e-441f-bfc9-4eb8c11e3978_Name">
    <vt:lpwstr>OFFICIAL</vt:lpwstr>
  </property>
  <property fmtid="{D5CDD505-2E9C-101B-9397-08002B2CF9AE}" pid="8" name="MSIP_Label_7158ebbd-6c5e-441f-bfc9-4eb8c11e3978_Application">
    <vt:lpwstr>Microsoft Azure Information Protection</vt:lpwstr>
  </property>
  <property fmtid="{D5CDD505-2E9C-101B-9397-08002B2CF9AE}" pid="9" name="MSIP_Label_7158ebbd-6c5e-441f-bfc9-4eb8c11e3978_Extended_MSFT_Method">
    <vt:lpwstr>Manual</vt:lpwstr>
  </property>
  <property fmtid="{D5CDD505-2E9C-101B-9397-08002B2CF9AE}" pid="10" name="Sensitivity">
    <vt:lpwstr>OFFICIAL</vt:lpwstr>
  </property>
</Properties>
</file>