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body>
    <!-- Modified by docx4j 8.2.0 (Apache licensed) using ECLIPSELINK_MOXy JAXB in Oracle Java 1.8.0_161 on Linux -->
    <w:p w:rsidRPr="00D115B5" w:rsidR="00426029" w:rsidP="00D115B5" w:rsidRDefault="00D115B5" w14:paraId="07ED26D7" w14:textId="2B116F8F">
      <w:pPr>
        <w:pStyle w:val="Heading2"/>
      </w:pPr>
      <w:r>
        <w:rPr>
          <w:lang w:val="en-US"/>
        </w:rPr>
        <w:t xml:space="preserve">Explanatory Note: Obligations of ‘Responsible Persons’ </w:t>
      </w:r>
      <w:r w:rsidR="009A681C">
        <w:rPr>
          <w:lang w:val="en-US"/>
        </w:rPr>
        <w:br/>
      </w:r>
      <w:r>
        <w:rPr>
          <w:lang w:val="en-US"/>
        </w:rPr>
        <w:t xml:space="preserve">under the </w:t>
      </w:r>
      <w:proofErr w:type="spellStart"/>
      <w:r>
        <w:rPr>
          <w:lang w:val="en-US"/>
        </w:rPr>
        <w:t>Taungurung</w:t>
      </w:r>
      <w:proofErr w:type="spellEnd"/>
      <w:r>
        <w:rPr>
          <w:lang w:val="en-US"/>
        </w:rPr>
        <w:t xml:space="preserve"> Land Use Activity Agreement</w:t>
      </w:r>
    </w:p>
    <w:p w:rsidRPr="00F423E2" w:rsidR="00F423E2" w:rsidP="007A1CA3" w:rsidRDefault="00F423E2" w14:paraId="5515A814" w14:textId="6D6D52A5">
      <w:pPr>
        <w:rPr>
          <w:i/>
          <w:iCs/>
          <w:lang w:val="en-US"/>
        </w:rPr>
      </w:pPr>
      <w:r w:rsidRPr="00F423E2">
        <w:rPr>
          <w:i/>
          <w:iCs/>
          <w:lang w:val="en-US"/>
        </w:rPr>
        <w:t>This document provides general information about the obligations of a Responsible Person. It is not intended to be, or to replace, legal advice.</w:t>
      </w:r>
      <w:r>
        <w:rPr>
          <w:i/>
          <w:iCs/>
          <w:lang w:val="en-US"/>
        </w:rPr>
        <w:t xml:space="preserve"> See also the </w:t>
      </w:r>
      <w:r w:rsidRPr="00F423E2">
        <w:rPr>
          <w:i/>
          <w:iCs/>
          <w:lang w:val="en-US"/>
        </w:rPr>
        <w:t>general information</w:t>
      </w:r>
      <w:r>
        <w:rPr>
          <w:i/>
          <w:iCs/>
          <w:lang w:val="en-US"/>
        </w:rPr>
        <w:t xml:space="preserve"> available on the </w:t>
      </w:r>
      <w:r w:rsidRPr="00F423E2">
        <w:rPr>
          <w:i/>
          <w:iCs/>
          <w:u w:val="single"/>
          <w:lang w:val="en-US"/>
        </w:rPr>
        <w:t>DJCS website</w:t>
      </w:r>
      <w:r>
        <w:rPr>
          <w:i/>
          <w:iCs/>
          <w:lang w:val="en-US"/>
        </w:rPr>
        <w:t xml:space="preserve">. </w:t>
      </w:r>
      <w:r w:rsidRPr="00F423E2">
        <w:rPr>
          <w:i/>
          <w:iCs/>
          <w:highlight w:val="yellow"/>
          <w:lang w:val="en-US"/>
        </w:rPr>
        <w:t xml:space="preserve">&lt;URL for </w:t>
      </w:r>
      <w:proofErr w:type="spellStart"/>
      <w:r>
        <w:rPr>
          <w:i/>
          <w:iCs/>
          <w:highlight w:val="yellow"/>
          <w:lang w:val="en-US"/>
        </w:rPr>
        <w:t>Taungurung</w:t>
      </w:r>
      <w:proofErr w:type="spellEnd"/>
      <w:r>
        <w:rPr>
          <w:i/>
          <w:iCs/>
          <w:highlight w:val="yellow"/>
          <w:lang w:val="en-US"/>
        </w:rPr>
        <w:t xml:space="preserve"> LUAA </w:t>
      </w:r>
      <w:r w:rsidRPr="00F423E2">
        <w:rPr>
          <w:i/>
          <w:iCs/>
          <w:highlight w:val="yellow"/>
          <w:lang w:val="en-US"/>
        </w:rPr>
        <w:t>Overview page&gt;</w:t>
      </w:r>
    </w:p>
    <w:p w:rsidR="00D115B5" w:rsidP="007A1CA3" w:rsidRDefault="00D115B5" w14:paraId="3DB92CBC" w14:textId="56675430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Taungurung</w:t>
      </w:r>
      <w:proofErr w:type="spellEnd"/>
      <w:r>
        <w:rPr>
          <w:lang w:val="en-US"/>
        </w:rPr>
        <w:t xml:space="preserve"> LUAA (Land Use Activity Agreement) </w:t>
      </w:r>
      <w:r w:rsidR="00AD60F2">
        <w:rPr>
          <w:lang w:val="en-US"/>
        </w:rPr>
        <w:t xml:space="preserve">gives effect to general provisions in the </w:t>
      </w:r>
      <w:r w:rsidR="00AD60F2">
        <w:rPr>
          <w:i/>
          <w:iCs/>
          <w:lang w:val="en-US"/>
        </w:rPr>
        <w:t xml:space="preserve">Traditional Owner Settlement Act 2010. </w:t>
      </w:r>
      <w:r w:rsidR="00AD60F2">
        <w:rPr>
          <w:lang w:val="en-US"/>
        </w:rPr>
        <w:t xml:space="preserve">That Act </w:t>
      </w:r>
      <w:r>
        <w:rPr>
          <w:lang w:val="en-US"/>
        </w:rPr>
        <w:t xml:space="preserve">distinguishes between the </w:t>
      </w:r>
      <w:r w:rsidR="00AD60F2">
        <w:rPr>
          <w:lang w:val="en-US"/>
        </w:rPr>
        <w:t xml:space="preserve">roles of the </w:t>
      </w:r>
      <w:r>
        <w:rPr>
          <w:lang w:val="en-US"/>
        </w:rPr>
        <w:t>Decision Maker and the Responsible Person</w:t>
      </w:r>
      <w:r w:rsidR="00B5386B">
        <w:rPr>
          <w:lang w:val="en-US"/>
        </w:rPr>
        <w:t xml:space="preserve"> (RP)</w:t>
      </w:r>
      <w:r>
        <w:rPr>
          <w:lang w:val="en-US"/>
        </w:rPr>
        <w:t xml:space="preserve">. </w:t>
      </w:r>
      <w:r w:rsidR="00AD60F2">
        <w:rPr>
          <w:lang w:val="en-US"/>
        </w:rPr>
        <w:t xml:space="preserve">In some cases, the same person or body has both roles. </w:t>
      </w:r>
    </w:p>
    <w:p w:rsidR="00D115B5" w:rsidRDefault="00D115B5" w14:paraId="3D4A2948" w14:textId="1D1554CF">
      <w:pPr>
        <w:rPr>
          <w:lang w:val="en-US"/>
        </w:rPr>
      </w:pPr>
      <w:r>
        <w:rPr>
          <w:lang w:val="en-US"/>
        </w:rPr>
        <w:t>The Decision Maker is required to ensure that the LUAA has been complied with before deciding to proceed with an activity.</w:t>
      </w:r>
      <w:r w:rsidR="00AD60F2">
        <w:rPr>
          <w:lang w:val="en-US"/>
        </w:rPr>
        <w:t xml:space="preserve"> That includes ensuring that the Responsible Person has fulfilled their obligations under the</w:t>
      </w:r>
      <w:r w:rsidR="001C0CAF">
        <w:rPr>
          <w:lang w:val="en-US"/>
        </w:rPr>
        <w:t xml:space="preserve"> </w:t>
      </w:r>
      <w:r w:rsidR="001C0CAF">
        <w:rPr>
          <w:i/>
          <w:iCs/>
          <w:lang w:val="en-US"/>
        </w:rPr>
        <w:t xml:space="preserve">Traditional Owner Settlement Act 2010 </w:t>
      </w:r>
      <w:r w:rsidR="001C0CAF">
        <w:rPr>
          <w:lang w:val="en-US"/>
        </w:rPr>
        <w:t>and the</w:t>
      </w:r>
      <w:r w:rsidR="00AD60F2">
        <w:rPr>
          <w:lang w:val="en-US"/>
        </w:rPr>
        <w:t xml:space="preserve"> LUAA. </w:t>
      </w:r>
    </w:p>
    <w:p w:rsidR="003F728B" w:rsidRDefault="00D115B5" w14:paraId="32129353" w14:textId="28841DF9">
      <w:pPr>
        <w:rPr>
          <w:lang w:val="en-US"/>
        </w:rPr>
      </w:pPr>
      <w:r>
        <w:rPr>
          <w:lang w:val="en-US"/>
        </w:rPr>
        <w:t xml:space="preserve">The </w:t>
      </w:r>
      <w:r w:rsidR="003F728B">
        <w:rPr>
          <w:lang w:val="en-US"/>
        </w:rPr>
        <w:t xml:space="preserve">RP </w:t>
      </w:r>
      <w:r>
        <w:rPr>
          <w:lang w:val="en-US"/>
        </w:rPr>
        <w:t xml:space="preserve">is required to negotiate with the </w:t>
      </w:r>
      <w:proofErr w:type="spellStart"/>
      <w:r>
        <w:rPr>
          <w:lang w:val="en-US"/>
        </w:rPr>
        <w:t>Taungurung</w:t>
      </w:r>
      <w:proofErr w:type="spellEnd"/>
      <w:r>
        <w:rPr>
          <w:lang w:val="en-US"/>
        </w:rPr>
        <w:t xml:space="preserve"> Land and Waters Council (</w:t>
      </w:r>
      <w:proofErr w:type="spellStart"/>
      <w:r>
        <w:rPr>
          <w:lang w:val="en-US"/>
        </w:rPr>
        <w:t>TLaWC</w:t>
      </w:r>
      <w:proofErr w:type="spellEnd"/>
      <w:r>
        <w:rPr>
          <w:lang w:val="en-US"/>
        </w:rPr>
        <w:t xml:space="preserve">) </w:t>
      </w:r>
      <w:r w:rsidR="003F728B">
        <w:rPr>
          <w:lang w:val="en-US"/>
        </w:rPr>
        <w:t xml:space="preserve">for activities </w:t>
      </w:r>
      <w:r w:rsidR="00AD60F2">
        <w:rPr>
          <w:lang w:val="en-US"/>
        </w:rPr>
        <w:t>defined</w:t>
      </w:r>
      <w:r w:rsidR="003F728B">
        <w:rPr>
          <w:lang w:val="en-US"/>
        </w:rPr>
        <w:t xml:space="preserve"> </w:t>
      </w:r>
      <w:r w:rsidR="00AD60F2">
        <w:rPr>
          <w:lang w:val="en-US"/>
        </w:rPr>
        <w:t xml:space="preserve">in the LUAA </w:t>
      </w:r>
      <w:r w:rsidR="003F728B">
        <w:rPr>
          <w:lang w:val="en-US"/>
        </w:rPr>
        <w:t xml:space="preserve">as Negotiation activities or Agreement activities. </w:t>
      </w:r>
    </w:p>
    <w:p w:rsidR="003F728B" w:rsidP="007A1CA3" w:rsidRDefault="003F728B" w14:paraId="574E9DC7" w14:textId="745E5B6D">
      <w:pPr>
        <w:pStyle w:val="Heading3"/>
      </w:pPr>
      <w:r w:rsidRPr="003F728B">
        <w:t xml:space="preserve">Negotiation about whether the activity </w:t>
      </w:r>
      <w:r>
        <w:t>can</w:t>
      </w:r>
      <w:r w:rsidRPr="003F728B">
        <w:t xml:space="preserve"> proceed</w:t>
      </w:r>
      <w:r>
        <w:t>, and on what conditions</w:t>
      </w:r>
    </w:p>
    <w:p w:rsidR="00AD60F2" w:rsidP="007A1CA3" w:rsidRDefault="00AD60F2" w14:paraId="4F7245C4" w14:textId="2FED025A">
      <w:pPr>
        <w:pStyle w:val="Heading4"/>
      </w:pPr>
      <w:r>
        <w:t>Agreement activities</w:t>
      </w:r>
    </w:p>
    <w:p w:rsidR="003F728B" w:rsidP="003F728B" w:rsidRDefault="003F728B" w14:paraId="1543C157" w14:textId="6C7E96F6">
      <w:r>
        <w:t xml:space="preserve">For all Agreement activities, the RP must seek the consent of </w:t>
      </w:r>
      <w:proofErr w:type="spellStart"/>
      <w:r>
        <w:t>TLaWC</w:t>
      </w:r>
      <w:proofErr w:type="spellEnd"/>
      <w:r>
        <w:t>. Without that consent, the activity cannot proceed.</w:t>
      </w:r>
    </w:p>
    <w:p w:rsidR="00AD60F2" w:rsidP="00AD60F2" w:rsidRDefault="00AD60F2" w14:paraId="71559F7F" w14:textId="4C36B499">
      <w:pPr>
        <w:pStyle w:val="Heading4"/>
      </w:pPr>
      <w:r>
        <w:t>Negotiation activities (Class A and Class B)</w:t>
      </w:r>
    </w:p>
    <w:p w:rsidR="00E70690" w:rsidP="003F728B" w:rsidRDefault="003F728B" w14:paraId="7FE634A1" w14:textId="327FF137">
      <w:r>
        <w:t xml:space="preserve">For Negotiation activities, the RP and </w:t>
      </w:r>
      <w:proofErr w:type="spellStart"/>
      <w:r>
        <w:t>TLaWC</w:t>
      </w:r>
      <w:proofErr w:type="spellEnd"/>
      <w:r>
        <w:t xml:space="preserve"> must negotiate in good faith about the activity. </w:t>
      </w:r>
      <w:r w:rsidR="00E70690">
        <w:t>This may include whether the activity proceeds, and on what conditions.</w:t>
      </w:r>
    </w:p>
    <w:p w:rsidR="00E70690" w:rsidP="003F728B" w:rsidRDefault="003F728B" w14:paraId="1CE4D6C7" w14:textId="454D957B">
      <w:r>
        <w:t xml:space="preserve">If agreement cannot be reached after </w:t>
      </w:r>
      <w:r w:rsidR="006C2897">
        <w:t>at least six</w:t>
      </w:r>
      <w:r>
        <w:t xml:space="preserve"> months of good faith negotiations, either party may apply to VCAT for an order. </w:t>
      </w:r>
    </w:p>
    <w:p w:rsidR="00E70690" w:rsidP="003F728B" w:rsidRDefault="00E70690" w14:paraId="15102DB9" w14:textId="2049ECFA">
      <w:r>
        <w:t>For any Negotiation activity, VCAT can make orders about:</w:t>
      </w:r>
    </w:p>
    <w:p w:rsidR="00E70690" w:rsidP="00E70690" w:rsidRDefault="00C03389" w14:paraId="0E00C17B" w14:textId="1A7AF5F2">
      <w:pPr>
        <w:pStyle w:val="ListParagraph"/>
        <w:numPr>
          <w:ilvl w:val="0"/>
          <w:numId w:val="12"/>
        </w:numPr>
      </w:pPr>
      <w:r>
        <w:t>w</w:t>
      </w:r>
      <w:r w:rsidR="00E70690">
        <w:t>hat conditions may be placed on the activity</w:t>
      </w:r>
    </w:p>
    <w:p w:rsidR="00E70690" w:rsidP="00E70690" w:rsidRDefault="00C03389" w14:paraId="4E0B35DE" w14:textId="2061DED1">
      <w:pPr>
        <w:pStyle w:val="ListParagraph"/>
        <w:numPr>
          <w:ilvl w:val="0"/>
          <w:numId w:val="12"/>
        </w:numPr>
      </w:pPr>
      <w:r>
        <w:t>w</w:t>
      </w:r>
      <w:r w:rsidR="00E70690">
        <w:t>hether a Community Benefit payment must be made, and in what amount.</w:t>
      </w:r>
      <w:r w:rsidR="00E70690">
        <w:rPr>
          <w:rStyle w:val="FootnoteReference"/>
        </w:rPr>
        <w:footnoteReference w:id="1"/>
      </w:r>
    </w:p>
    <w:p w:rsidRPr="003F728B" w:rsidR="003F728B" w:rsidP="003F728B" w:rsidRDefault="00E70690" w14:paraId="6BFDE76E" w14:textId="6F083CB8">
      <w:r>
        <w:t>For Negotiation (Class A) activities, VCAT may also make orders about w</w:t>
      </w:r>
      <w:r w:rsidRPr="00E70690">
        <w:t>hether the activity may proceed</w:t>
      </w:r>
      <w:r>
        <w:t>. For Negotiation (Class B) activities, VCAT cannot order that the activity not be allowed to proceed.</w:t>
      </w:r>
    </w:p>
    <w:p w:rsidR="00B5386B" w:rsidP="00B5386B" w:rsidRDefault="003F728B" w14:paraId="7FB6438A" w14:textId="2F41C7E0">
      <w:pPr>
        <w:pStyle w:val="Heading3"/>
      </w:pPr>
      <w:r w:rsidRPr="003F728B">
        <w:t>Negotiation about Community Benefits</w:t>
      </w:r>
    </w:p>
    <w:p w:rsidR="003F728B" w:rsidP="003F728B" w:rsidRDefault="00E70690" w14:paraId="2BE1195D" w14:textId="68F45037">
      <w:r>
        <w:t>Where the State is the RP, or where it is issuing a Public Land Authorisation (i.e. a lease, licence or permit under specified legislation), it will provide Community Benefits. The value of these benefits is determined using formulas in Schedule 7 of the LUAA.</w:t>
      </w:r>
      <w:r w:rsidR="00B5386B">
        <w:t xml:space="preserve"> That Schedule also allows the parties to reach agreement about providing some or all of the Community Benefits in non-monetary form.</w:t>
      </w:r>
    </w:p>
    <w:p w:rsidR="00E70690" w:rsidP="003F728B" w:rsidRDefault="00E70690" w14:paraId="6EC633C6" w14:textId="12D76243">
      <w:r>
        <w:lastRenderedPageBreak/>
        <w:t xml:space="preserve">However, </w:t>
      </w:r>
      <w:r w:rsidR="00B5386B">
        <w:t xml:space="preserve">Schedule 7 does not apply </w:t>
      </w:r>
      <w:r>
        <w:t xml:space="preserve">where the </w:t>
      </w:r>
      <w:r w:rsidR="00B5386B">
        <w:t>RP</w:t>
      </w:r>
      <w:r>
        <w:t xml:space="preserve"> is</w:t>
      </w:r>
      <w:r w:rsidR="00AD60F2">
        <w:t>:</w:t>
      </w:r>
    </w:p>
    <w:p w:rsidR="00E70690" w:rsidP="00AD60F2" w:rsidRDefault="00AD60F2" w14:paraId="09041682" w14:textId="6B92C467">
      <w:pPr>
        <w:pStyle w:val="ListParagraph"/>
        <w:numPr>
          <w:ilvl w:val="0"/>
          <w:numId w:val="13"/>
        </w:numPr>
      </w:pPr>
      <w:r>
        <w:t>an applicant for an ERIA (Earth Resources or Infrastructure Authorisation) that is a Negotiation activity, or</w:t>
      </w:r>
    </w:p>
    <w:p w:rsidR="00AD60F2" w:rsidP="00AD60F2" w:rsidRDefault="00AD60F2" w14:paraId="22269746" w14:textId="57FE7448">
      <w:pPr>
        <w:pStyle w:val="ListParagraph"/>
        <w:numPr>
          <w:ilvl w:val="0"/>
          <w:numId w:val="13"/>
        </w:numPr>
      </w:pPr>
      <w:r>
        <w:t xml:space="preserve">a person or body who is </w:t>
      </w:r>
      <w:r w:rsidR="00B5386B">
        <w:t xml:space="preserve">both </w:t>
      </w:r>
      <w:r>
        <w:t>Decision Maker and Responsible Person</w:t>
      </w:r>
      <w:r w:rsidR="00B5386B">
        <w:t>, but is not a State agency (e.g., a local government or statutory authority).</w:t>
      </w:r>
    </w:p>
    <w:p w:rsidRPr="003F728B" w:rsidR="00B5386B" w:rsidP="00B5386B" w:rsidRDefault="00B5386B" w14:paraId="02C55B7E" w14:textId="04009E1E">
      <w:r>
        <w:t xml:space="preserve">In those situations, the RP and </w:t>
      </w:r>
      <w:proofErr w:type="spellStart"/>
      <w:r>
        <w:t>TLaWC</w:t>
      </w:r>
      <w:proofErr w:type="spellEnd"/>
      <w:r>
        <w:t xml:space="preserve"> must negotiate about the value and form of Community Benefits. They may agree to base their negotiation on the provisions of Schedule 7, but </w:t>
      </w:r>
      <w:r w:rsidR="006C2897">
        <w:t xml:space="preserve">they </w:t>
      </w:r>
      <w:r>
        <w:t xml:space="preserve">are not required to do so. As noted above, </w:t>
      </w:r>
      <w:r w:rsidR="006C2897">
        <w:t xml:space="preserve">either party may apply to VCAT for an order </w:t>
      </w:r>
      <w:r>
        <w:t xml:space="preserve">if they are unable to reach agreement after at least </w:t>
      </w:r>
      <w:r w:rsidR="006C2897">
        <w:t>six</w:t>
      </w:r>
      <w:r>
        <w:t xml:space="preserve"> months of good faith negotiations.</w:t>
      </w:r>
    </w:p>
    <w:p w:rsidR="003F728B" w:rsidP="003F728B" w:rsidRDefault="003F728B" w14:paraId="6F656382" w14:textId="06729A72">
      <w:pPr>
        <w:pStyle w:val="Heading3"/>
        <w:rPr>
          <w:lang w:val="en-US"/>
        </w:rPr>
      </w:pPr>
      <w:r w:rsidRPr="003F728B">
        <w:t>Costs of</w:t>
      </w:r>
      <w:r>
        <w:rPr>
          <w:lang w:val="en-US"/>
        </w:rPr>
        <w:t xml:space="preserve"> negotiation</w:t>
      </w:r>
    </w:p>
    <w:p w:rsidRPr="003A0F29" w:rsidR="00D115B5" w:rsidRDefault="00B5386B" w14:paraId="0FD219E0" w14:textId="5737522F">
      <w:pPr>
        <w:rPr>
          <w:lang w:val="en-US"/>
        </w:rPr>
      </w:pPr>
      <w:r>
        <w:rPr>
          <w:lang w:val="en-US"/>
        </w:rPr>
        <w:t>The RP</w:t>
      </w:r>
      <w:r w:rsidR="003F728B">
        <w:rPr>
          <w:lang w:val="en-US"/>
        </w:rPr>
        <w:t xml:space="preserve"> must pay </w:t>
      </w:r>
      <w:proofErr w:type="spellStart"/>
      <w:r w:rsidR="003F728B">
        <w:rPr>
          <w:lang w:val="en-US"/>
        </w:rPr>
        <w:t>TLaWC’s</w:t>
      </w:r>
      <w:proofErr w:type="spellEnd"/>
      <w:r w:rsidR="003F728B">
        <w:rPr>
          <w:lang w:val="en-US"/>
        </w:rPr>
        <w:t xml:space="preserve"> reasonable negotiation costs</w:t>
      </w:r>
      <w:r w:rsidR="007A1CA3">
        <w:rPr>
          <w:lang w:val="en-US"/>
        </w:rPr>
        <w:t xml:space="preserve">, except if </w:t>
      </w:r>
      <w:proofErr w:type="spellStart"/>
      <w:r w:rsidR="007A1CA3">
        <w:rPr>
          <w:lang w:val="en-US"/>
        </w:rPr>
        <w:t>TLaWC</w:t>
      </w:r>
      <w:proofErr w:type="spellEnd"/>
      <w:r w:rsidR="007A1CA3">
        <w:rPr>
          <w:lang w:val="en-US"/>
        </w:rPr>
        <w:t xml:space="preserve"> applies to VCAT for an order.</w:t>
      </w:r>
      <w:r w:rsidR="003A0F29">
        <w:rPr>
          <w:lang w:val="en-US"/>
        </w:rPr>
        <w:t xml:space="preserve"> Reasonable costs are calculated as prescribed by the </w:t>
      </w:r>
      <w:r w:rsidR="003A0F29">
        <w:rPr>
          <w:i/>
          <w:iCs/>
          <w:lang w:val="en-US"/>
        </w:rPr>
        <w:t xml:space="preserve">Traditional Owner Settlement (Negotiation Costs) Regulation 2015. </w:t>
      </w:r>
    </w:p>
    <w:p w:rsidR="00B5386B" w:rsidP="00B5386B" w:rsidRDefault="00B5386B" w14:paraId="74796705" w14:textId="4981EEA7">
      <w:pPr>
        <w:pStyle w:val="Heading3"/>
        <w:rPr>
          <w:lang w:val="en-US"/>
        </w:rPr>
      </w:pPr>
      <w:r>
        <w:rPr>
          <w:lang w:val="en-US"/>
        </w:rPr>
        <w:t>After reaching agreement</w:t>
      </w:r>
    </w:p>
    <w:p w:rsidR="007A1CA3" w:rsidP="00B5386B" w:rsidRDefault="007A1CA3" w14:paraId="4997566F" w14:textId="21BDA709">
      <w:pPr>
        <w:rPr>
          <w:lang w:val="en-US"/>
        </w:rPr>
      </w:pPr>
      <w:r>
        <w:rPr>
          <w:lang w:val="en-US"/>
        </w:rPr>
        <w:t xml:space="preserve">Any </w:t>
      </w:r>
      <w:r w:rsidR="00B5386B">
        <w:rPr>
          <w:lang w:val="en-US"/>
        </w:rPr>
        <w:t xml:space="preserve">agreement with </w:t>
      </w:r>
      <w:proofErr w:type="spellStart"/>
      <w:r w:rsidR="00B5386B">
        <w:rPr>
          <w:lang w:val="en-US"/>
        </w:rPr>
        <w:t>TLaWC</w:t>
      </w:r>
      <w:proofErr w:type="spellEnd"/>
      <w:r w:rsidR="00B5386B">
        <w:rPr>
          <w:lang w:val="en-US"/>
        </w:rPr>
        <w:t xml:space="preserve"> about a Negotiation or Agreement activity</w:t>
      </w:r>
      <w:r>
        <w:rPr>
          <w:lang w:val="en-US"/>
        </w:rPr>
        <w:t xml:space="preserve"> must be written and signed by both parties (by all parties, if more than two).</w:t>
      </w:r>
    </w:p>
    <w:p w:rsidRPr="007A1CA3" w:rsidR="00B5386B" w:rsidP="00B5386B" w:rsidRDefault="007A1CA3" w14:paraId="607C6ABD" w14:textId="091957CC">
      <w:pPr>
        <w:rPr>
          <w:lang w:val="en-US"/>
        </w:rPr>
      </w:pPr>
      <w:r>
        <w:rPr>
          <w:lang w:val="en-US"/>
        </w:rPr>
        <w:t>T</w:t>
      </w:r>
      <w:r w:rsidR="00B5386B">
        <w:rPr>
          <w:lang w:val="en-US"/>
        </w:rPr>
        <w:t xml:space="preserve">he RP </w:t>
      </w:r>
      <w:r w:rsidR="003A0F29">
        <w:rPr>
          <w:lang w:val="en-US"/>
        </w:rPr>
        <w:t xml:space="preserve">and </w:t>
      </w:r>
      <w:proofErr w:type="spellStart"/>
      <w:r w:rsidR="003A0F29">
        <w:rPr>
          <w:lang w:val="en-US"/>
        </w:rPr>
        <w:t>TLaWC</w:t>
      </w:r>
      <w:proofErr w:type="spellEnd"/>
      <w:r w:rsidR="003A0F29">
        <w:rPr>
          <w:lang w:val="en-US"/>
        </w:rPr>
        <w:t xml:space="preserve"> </w:t>
      </w:r>
      <w:r w:rsidR="00B5386B">
        <w:rPr>
          <w:lang w:val="en-US"/>
        </w:rPr>
        <w:t xml:space="preserve">must give a </w:t>
      </w:r>
      <w:r w:rsidR="003A0F29">
        <w:rPr>
          <w:lang w:val="en-US"/>
        </w:rPr>
        <w:t xml:space="preserve">signed </w:t>
      </w:r>
      <w:r>
        <w:rPr>
          <w:lang w:val="en-US"/>
        </w:rPr>
        <w:t>notice</w:t>
      </w:r>
      <w:r w:rsidR="00B5386B">
        <w:rPr>
          <w:lang w:val="en-US"/>
        </w:rPr>
        <w:t xml:space="preserve"> to the Decision Maker</w:t>
      </w:r>
      <w:r>
        <w:rPr>
          <w:lang w:val="en-US"/>
        </w:rPr>
        <w:t xml:space="preserve"> that such an agreement has been reached. </w:t>
      </w:r>
      <w:r w:rsidR="00B5386B">
        <w:rPr>
          <w:lang w:val="en-US"/>
        </w:rPr>
        <w:t>The Decision Maker may then decide that the activity can proceed.</w:t>
      </w:r>
    </w:p>
    <w:sectPr w:rsidRPr="007A1CA3" w:rsidR="00B5386B" w:rsidSect="009A68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endnote w:type="separator" w:id="-1">
    <w:p w:rsidR="00DD66F1" w:rsidP="00E70690" w:rsidRDefault="00DD66F1" w14:paraId="63D91512" w14:textId="77777777">
      <w:pPr>
        <w:spacing w:after="0" w:line="240" w:lineRule="auto"/>
      </w:pPr>
      <w:r>
        <w:separator/>
      </w:r>
    </w:p>
  </w:endnote>
  <w:endnote w:type="continuationSeparator" w:id="0">
    <w:p w:rsidR="00DD66F1" w:rsidP="00E70690" w:rsidRDefault="00DD66F1" w14:paraId="173608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footnote w:type="separator" w:id="-1">
    <w:p w:rsidR="00DD66F1" w:rsidP="00E70690" w:rsidRDefault="00DD66F1" w14:paraId="67CFDD59" w14:textId="77777777">
      <w:pPr>
        <w:spacing w:after="0" w:line="240" w:lineRule="auto"/>
      </w:pPr>
      <w:r>
        <w:separator/>
      </w:r>
    </w:p>
  </w:footnote>
  <w:footnote w:type="continuationSeparator" w:id="0">
    <w:p w:rsidR="00DD66F1" w:rsidP="00E70690" w:rsidRDefault="00DD66F1" w14:paraId="356178A3" w14:textId="77777777">
      <w:pPr>
        <w:spacing w:after="0" w:line="240" w:lineRule="auto"/>
      </w:pPr>
      <w:r>
        <w:continuationSeparator/>
      </w:r>
    </w:p>
  </w:footnote>
  <w:footnote w:id="1">
    <w:p w:rsidRPr="00E70690" w:rsidR="00E70690" w:rsidP="00C03389" w:rsidRDefault="00E70690" w14:paraId="1B661237" w14:textId="77777777">
      <w:pPr>
        <w:pStyle w:val="Footnote"/>
      </w:pPr>
      <w:r>
        <w:rPr>
          <w:rStyle w:val="FootnoteReference"/>
        </w:rPr>
        <w:footnoteRef/>
      </w:r>
      <w:r>
        <w:t xml:space="preserve"> VCAT may also make orders about other matters, such as the classification of the activity, whether the parties have negotiated in good faith, or the assessment of reasonable negotiation costs.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abstractNum w:abstractNumId="0">
    <w:nsid w:val="FFFFFF7C"/>
    <w:multiLevelType w:val="singleLevel"/>
    <w:tmpl w:val="A7283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1C6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ACC4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A80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B0E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09A0B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FE0D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46A8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4E081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A2D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332D0A97"/>
    <w:multiLevelType w:val="hybridMultilevel"/>
    <w:tmpl w:val="0136B0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A601794"/>
    <w:multiLevelType w:val="hybridMultilevel"/>
    <w:tmpl w:val="D2B2AC78"/>
    <w:lvl w:ilvl="0" w:tplc="F47A977E">
      <w:start w:val="1"/>
      <w:numFmt w:val="bullet"/>
      <w:pStyle w:val="Bullet1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7A991002"/>
    <w:multiLevelType w:val="hybridMultilevel"/>
    <w:tmpl w:val="B90E07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B5"/>
    <w:rsid w:val="001C0CAF"/>
    <w:rsid w:val="003A0F29"/>
    <w:rsid w:val="003F728B"/>
    <w:rsid w:val="006C2897"/>
    <w:rsid w:val="006E3BF8"/>
    <w:rsid w:val="006F7728"/>
    <w:rsid w:val="00765FF6"/>
    <w:rsid w:val="007A1CA3"/>
    <w:rsid w:val="00826445"/>
    <w:rsid w:val="00910584"/>
    <w:rsid w:val="009A681C"/>
    <w:rsid w:val="00AD60F2"/>
    <w:rsid w:val="00B5386B"/>
    <w:rsid w:val="00C03389"/>
    <w:rsid w:val="00D115B5"/>
    <w:rsid w:val="00DD2012"/>
    <w:rsid w:val="00DD66F1"/>
    <w:rsid w:val="00E70690"/>
    <w:rsid w:val="00EA31F7"/>
    <w:rsid w:val="00EC0978"/>
    <w:rsid w:val="00F36883"/>
    <w:rsid w:val="00F4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1026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4F7D24F2"/>
  <w15:docId w15:val="{6F78902C-4A82-8747-98A3-EF3837113C31}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cex="http://schemas.microsoft.com/office/word/2018/wordml/cex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7A1CA3"/>
    <w:pPr>
      <w:spacing w:after="240" w:line="240" w:lineRule="atLeast"/>
    </w:pPr>
    <w:rPr>
      <w:rFonts w:ascii="Arial" w:hAnsi="Arial" w:eastAsiaTheme="minorEastAsia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5B5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5B5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81C"/>
    <w:pPr>
      <w:keepNext/>
      <w:keepLines/>
      <w:spacing w:before="360" w:after="12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1CA3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D115B5"/>
    <w:rPr>
      <w:rFonts w:ascii="Arial" w:hAnsi="Arial" w:eastAsiaTheme="majorEastAsia" w:cstheme="majorBidi"/>
      <w:b/>
      <w:bCs/>
      <w:color w:val="000000" w:themeColor="text1"/>
      <w:sz w:val="36"/>
      <w:szCs w:val="32"/>
      <w:lang w:val="en-GB"/>
    </w:rPr>
  </w:style>
  <w:style w:type="character" w:styleId="Heading2Char" w:customStyle="true">
    <w:name w:val="Heading 2 Char"/>
    <w:basedOn w:val="DefaultParagraphFont"/>
    <w:link w:val="Heading2"/>
    <w:uiPriority w:val="9"/>
    <w:rsid w:val="00D115B5"/>
    <w:rPr>
      <w:rFonts w:ascii="Arial" w:hAnsi="Arial" w:eastAsiaTheme="majorEastAsia" w:cstheme="majorBidi"/>
      <w:b/>
      <w:bCs/>
      <w:color w:val="000000" w:themeColor="text1"/>
      <w:sz w:val="32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5B5"/>
    <w:rPr>
      <w:rFonts w:ascii="Lucida Grande" w:hAnsi="Lucida Grande" w:cs="Lucida Grand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D115B5"/>
    <w:rPr>
      <w:rFonts w:ascii="Lucida Grande" w:hAnsi="Lucida Grande" w:cs="Lucida Grande" w:eastAsiaTheme="minorEastAsia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115B5"/>
    <w:pPr>
      <w:ind w:left="720"/>
      <w:contextualSpacing/>
      <w:jc w:val="both"/>
    </w:pPr>
  </w:style>
  <w:style w:type="paragraph" w:styleId="Bullet1" w:customStyle="true">
    <w:name w:val="Bullet1"/>
    <w:basedOn w:val="ListParagraph"/>
    <w:qFormat/>
    <w:rsid w:val="00D115B5"/>
    <w:pPr>
      <w:numPr>
        <w:numId w:val="11"/>
      </w:numPr>
      <w:spacing w:after="60"/>
      <w:jc w:val="left"/>
    </w:pPr>
    <w:rPr>
      <w:rFonts w:eastAsiaTheme="minorHAnsi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11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5B5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D115B5"/>
    <w:rPr>
      <w:rFonts w:ascii="Arial" w:hAnsi="Arial"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5B5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D115B5"/>
    <w:rPr>
      <w:rFonts w:ascii="Arial" w:hAnsi="Arial" w:eastAsiaTheme="minorEastAsia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5B5"/>
    <w:pPr>
      <w:tabs>
        <w:tab w:val="center" w:pos="4320"/>
        <w:tab w:val="right" w:pos="8640"/>
      </w:tabs>
      <w:jc w:val="both"/>
    </w:pPr>
    <w:rPr>
      <w:sz w:val="18"/>
    </w:rPr>
  </w:style>
  <w:style w:type="character" w:styleId="FooterChar" w:customStyle="true">
    <w:name w:val="Footer Char"/>
    <w:basedOn w:val="DefaultParagraphFont"/>
    <w:link w:val="Footer"/>
    <w:uiPriority w:val="99"/>
    <w:rsid w:val="00D115B5"/>
    <w:rPr>
      <w:rFonts w:ascii="Arial" w:hAnsi="Arial" w:eastAsiaTheme="minorEastAsia"/>
      <w:sz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D115B5"/>
    <w:rPr>
      <w:sz w:val="18"/>
    </w:rPr>
  </w:style>
  <w:style w:type="character" w:styleId="FootnoteTextChar" w:customStyle="true">
    <w:name w:val="Footnote Text Char"/>
    <w:basedOn w:val="DefaultParagraphFont"/>
    <w:link w:val="FootnoteText"/>
    <w:uiPriority w:val="99"/>
    <w:rsid w:val="00D115B5"/>
    <w:rPr>
      <w:rFonts w:ascii="Arial" w:hAnsi="Arial" w:eastAsiaTheme="minorEastAsia"/>
      <w:sz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15B5"/>
    <w:pPr>
      <w:tabs>
        <w:tab w:val="center" w:pos="4320"/>
        <w:tab w:val="right" w:pos="8640"/>
      </w:tabs>
      <w:jc w:val="both"/>
    </w:pPr>
  </w:style>
  <w:style w:type="character" w:styleId="HeaderChar" w:customStyle="true">
    <w:name w:val="Header Char"/>
    <w:basedOn w:val="DefaultParagraphFont"/>
    <w:link w:val="Header"/>
    <w:uiPriority w:val="99"/>
    <w:rsid w:val="00D115B5"/>
    <w:rPr>
      <w:rFonts w:ascii="Arial" w:hAnsi="Arial" w:eastAsiaTheme="minorEastAsia"/>
      <w:lang w:val="en-GB"/>
    </w:rPr>
  </w:style>
  <w:style w:type="character" w:styleId="Heading3Char" w:customStyle="true">
    <w:name w:val="Heading 3 Char"/>
    <w:basedOn w:val="DefaultParagraphFont"/>
    <w:link w:val="Heading3"/>
    <w:uiPriority w:val="9"/>
    <w:rsid w:val="009A681C"/>
    <w:rPr>
      <w:rFonts w:ascii="Arial" w:hAnsi="Arial" w:eastAsiaTheme="majorEastAsia" w:cstheme="majorBidi"/>
      <w:b/>
      <w:bCs/>
      <w:color w:val="000000" w:themeColor="text1"/>
      <w:sz w:val="28"/>
      <w:lang w:val="en-GB"/>
    </w:rPr>
  </w:style>
  <w:style w:type="character" w:styleId="Heading4Char" w:customStyle="true">
    <w:name w:val="Heading 4 Char"/>
    <w:basedOn w:val="DefaultParagraphFont"/>
    <w:link w:val="Heading4"/>
    <w:uiPriority w:val="9"/>
    <w:rsid w:val="007A1CA3"/>
    <w:rPr>
      <w:rFonts w:ascii="Arial" w:hAnsi="Arial" w:eastAsiaTheme="majorEastAsia" w:cstheme="majorBidi"/>
      <w:b/>
      <w:bCs/>
      <w:iCs/>
      <w:color w:val="000000" w:themeColor="text1"/>
      <w:lang w:val="en-GB"/>
    </w:rPr>
  </w:style>
  <w:style w:type="character" w:styleId="Hyperlink">
    <w:name w:val="Hyperlink"/>
    <w:basedOn w:val="DefaultParagraphFont"/>
    <w:uiPriority w:val="99"/>
    <w:unhideWhenUsed/>
    <w:rsid w:val="00D115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15B5"/>
    <w:pPr>
      <w:spacing w:before="100" w:beforeAutospacing="true" w:after="100" w:afterAutospacing="true"/>
    </w:pPr>
    <w:rPr>
      <w:rFonts w:ascii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D115B5"/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115B5"/>
  </w:style>
  <w:style w:type="paragraph" w:styleId="TOC2">
    <w:name w:val="toc 2"/>
    <w:basedOn w:val="Normal"/>
    <w:next w:val="Normal"/>
    <w:autoRedefine/>
    <w:uiPriority w:val="39"/>
    <w:unhideWhenUsed/>
    <w:rsid w:val="00D115B5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115B5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115B5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115B5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115B5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115B5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115B5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115B5"/>
    <w:pPr>
      <w:ind w:left="1760"/>
    </w:pPr>
  </w:style>
  <w:style w:type="character" w:styleId="FootnoteReference">
    <w:name w:val="footnote reference"/>
    <w:basedOn w:val="DefaultParagraphFont"/>
    <w:uiPriority w:val="99"/>
    <w:semiHidden/>
    <w:unhideWhenUsed/>
    <w:rsid w:val="00E70690"/>
    <w:rPr>
      <w:vertAlign w:val="superscript"/>
    </w:rPr>
  </w:style>
  <w:style w:type="paragraph" w:styleId="Footnote" w:customStyle="true">
    <w:name w:val="Footnote"/>
    <w:basedOn w:val="Normal"/>
    <w:qFormat/>
    <w:rsid w:val="00C03389"/>
    <w:pPr>
      <w:spacing w:line="240" w:lineRule="auto"/>
    </w:pPr>
    <w:rPr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allowPNG/>
</w:webSettings>
</file>

<file path=word/_rels/document.xml.rels><?xml version="1.0" encoding="UTF-8"?>
<Relationships xmlns="http://schemas.openxmlformats.org/package/2006/relationships">
   <Relationship Target="fontTable.xml" Type="http://schemas.openxmlformats.org/officeDocument/2006/relationships/fontTable" Id="rId8"/>
   <Relationship Target="styles.xml" Type="http://schemas.openxmlformats.org/officeDocument/2006/relationships/styles" Id="rId3"/>
   <Relationship Target="endnotes.xml" Type="http://schemas.openxmlformats.org/officeDocument/2006/relationships/endnotes" Id="rId7"/>
   <Relationship Target="numbering.xml" Type="http://schemas.openxmlformats.org/officeDocument/2006/relationships/numbering" Id="rId2"/>
   <Relationship Target="../customXml/item1.xml" Type="http://schemas.openxmlformats.org/officeDocument/2006/relationships/customXml" Id="rId1"/>
   <Relationship Target="footnotes.xml" Type="http://schemas.openxmlformats.org/officeDocument/2006/relationships/footnotes" Id="rId6"/>
   <Relationship Target="webSettings.xml" Type="http://schemas.openxmlformats.org/officeDocument/2006/relationships/webSettings" Id="rId5"/>
   <Relationship Target="settings.xml" Type="http://schemas.openxmlformats.org/officeDocument/2006/relationships/settings" Id="rId4"/>
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
   <Relationship Target="itemProps1.xml" Type="http://schemas.openxmlformats.org/officeDocument/2006/relationships/customXmlProps" Id="rId1"/>
</Relationships>

</file>

<file path=customXml/item1.xml><?xml version="1.0" encoding="utf-8"?>
<b:Sources xmlns:b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051E1F-9B07-4468-9847-E30EF4E5E98F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2</properties:Pages>
  <properties:Words>552</properties:Words>
  <properties:Characters>3148</properties:Characters>
  <properties:Lines>26</properties:Lines>
  <properties:Paragraphs>7</properties:Paragraphs>
  <properties:TotalTime>2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2020-08-18T07:58:00Z</dcterms:created>
  <dc:creator/>
  <dc:description/>
  <cp:keywords/>
  <cp:lastModifiedBy/>
  <dcterms:modified xmlns:xsi="http://www.w3.org/2001/XMLSchema-instance" xsi:type="dcterms:W3CDTF">2020-10-08T06:22:00Z</dcterms:modified>
  <cp:revision>3</cp:revision>
  <dc:subject/>
  <dc:title/>
</cp:coreProperties>
</file>